
<file path=[Content_Types].xml><?xml version="1.0" encoding="utf-8"?>
<Types xmlns="http://schemas.openxmlformats.org/package/2006/content-types">
  <Default Extension="xml" ContentType="application/xml"/>
  <Default Extension="emf" ContentType="image/x-emf"/>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3" w:type="default"/>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eastAsia="宋体" w:cs="楷体_GB2312" w:ascii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eastAsia="宋体" w:cs="楷体_GB2312" w:ascii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jc w:val="cente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大厂回族自治县统计局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十一月</w:t>
      </w:r>
    </w:p>
    <w:p>
      <w:pPr>
        <w:keepNext w:val="0"/>
        <w:keepLines w:val="0"/>
        <w:pageBreakBefore w:val="0"/>
        <w:tabs>
          <w:tab w:val="left" w:pos="2728"/>
        </w:tabs>
        <w:kinsoku/>
        <w:wordWrap/>
        <w:overflowPunct/>
        <w:topLinePunct w:val="0"/>
        <w:autoSpaceDE/>
        <w:autoSpaceDN/>
        <w:bidi w:val="0"/>
        <w:adjustRightInd/>
        <w:snapToGrid/>
        <w:spacing w:line="520" w:lineRule="exact"/>
        <w:jc w:val="center"/>
        <w:textAlignment w:val="auto"/>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keepNext w:val="0"/>
        <w:keepLines w:val="0"/>
        <w:pageBreakBefore w:val="0"/>
        <w:widowControl/>
        <w:kinsoku/>
        <w:wordWrap/>
        <w:overflowPunct/>
        <w:topLinePunct w:val="0"/>
        <w:autoSpaceDE/>
        <w:autoSpaceDN/>
        <w:bidi w:val="0"/>
        <w:adjustRightInd/>
        <w:snapToGrid/>
        <w:spacing w:after="160" w:line="520" w:lineRule="exact"/>
        <w:ind w:firstLine="1273" w:firstLineChars="398"/>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keepNext w:val="0"/>
        <w:keepLines w:val="0"/>
        <w:pageBreakBefore w:val="0"/>
        <w:widowControl/>
        <w:kinsoku/>
        <w:wordWrap/>
        <w:overflowPunct/>
        <w:topLinePunct w:val="0"/>
        <w:autoSpaceDE/>
        <w:autoSpaceDN/>
        <w:bidi w:val="0"/>
        <w:adjustRightInd/>
        <w:snapToGrid/>
        <w:spacing w:after="160" w:line="520" w:lineRule="exact"/>
        <w:ind w:firstLine="1273" w:firstLineChars="398"/>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一、收入支出决算总体情况说明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二、收入决算情况说明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三、支出决算情况说明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四、财政拨款收入支出决算总体情况说明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五、一般公共预算</w:t>
      </w:r>
      <w:r>
        <w:rPr>
          <w:rFonts w:ascii="Times New Roman" w:hAnsi="Times New Roman" w:eastAsia="仿宋_GB2312" w:cs="Times New Roman"/>
          <w:color w:val="000000" w:themeColor="text1"/>
          <w:sz w:val="32"/>
          <w:szCs w:val="32"/>
          <w14:textFill>
            <w14:solidFill>
              <w14:schemeClr w14:val="tx1"/>
            </w14:solidFill>
          </w14:textFill>
        </w:rPr>
        <w:t>“三公”经费支出决算情况说明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、其他重要事项的说明</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部门（单位）整体绩效自评表</w:t>
      </w: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7"/>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2"/>
        <w:spacing w:before="0" w:after="0" w:line="580" w:lineRule="exact"/>
        <w:ind w:firstLine="640" w:firstLineChars="200"/>
        <w:jc w:val="left"/>
        <w:rPr>
          <w:rFonts w:ascii="黑体" w:eastAsia="黑体" w:cs="黑体"/>
          <w:b w:val="0"/>
          <w:bCs w:val="0"/>
          <w:color w:val="000000" w:themeColor="text1"/>
          <w:kern w:val="0"/>
          <w:sz w:val="32"/>
          <w:szCs w:val="32"/>
          <w14:textFill>
            <w14:solidFill>
              <w14:schemeClr w14:val="tx1"/>
            </w14:solidFill>
          </w14:textFill>
        </w:rPr>
      </w:pPr>
      <w:r>
        <w:rPr>
          <w:rFonts w:hint="eastAsia" w:ascii="黑体" w:eastAsia="黑体" w:cs="黑体"/>
          <w:b w:val="0"/>
          <w:bCs w:val="0"/>
          <w:color w:val="000000" w:themeColor="text1"/>
          <w:kern w:val="0"/>
          <w:sz w:val="32"/>
          <w:szCs w:val="32"/>
          <w14:textFill>
            <w14:solidFill>
              <w14:schemeClr w14:val="tx1"/>
            </w14:solidFill>
          </w14:textFill>
        </w:rPr>
        <w:t>一、部门职责</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(一)组织领导和协调全县统计工作，确保统计数据真实、准确、完整、及时。</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(二)拟订统计工作方面的地方性</w:t>
      </w:r>
      <w:r>
        <w:rPr>
          <w:rFonts w:hint="eastAsia" w:ascii="仿宋_GB2312" w:hAnsi="仿宋_GB2312" w:eastAsia="仿宋_GB2312" w:cs="仿宋_GB2312"/>
          <w:sz w:val="32"/>
          <w:szCs w:val="32"/>
        </w:rPr>
        <w:t>管理办法和统计改革方案</w:t>
      </w:r>
      <w:r>
        <w:rPr>
          <w:rFonts w:hint="eastAsia" w:ascii="仿宋_GB2312" w:hAnsi="仿宋_GB2312" w:eastAsia="仿宋_GB2312" w:cs="仿宋_GB2312"/>
          <w:color w:val="000000"/>
          <w:sz w:val="32"/>
          <w:szCs w:val="32"/>
        </w:rPr>
        <w:t>，制定全县统计改革、统计建设规划、统计调查计划和统计调查制度，贯彻执行监督检查统计法律、法规实施情况，指导全县统计工作。</w:t>
      </w:r>
      <w:r>
        <w:rPr>
          <w:rFonts w:hint="eastAsia" w:ascii="仿宋_GB2312" w:hAnsi="仿宋_GB2312" w:eastAsia="仿宋_GB2312" w:cs="仿宋_GB2312"/>
          <w:sz w:val="32"/>
          <w:szCs w:val="32"/>
        </w:rPr>
        <w:t>组织实施统计执法监督检查和“双随机”抽查，依法查处统计违法案件，预防和查处统计造假、弄虚作假。</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(三)贯彻执行国家和省、市国民经济核算制度，组织实施全县国民经济核算、资产负债核算和投入产出调查，整理、测算和提供国民经济核算资料，监督管理全县国民经济核算工作。                                           </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(四)组织完成国家和省、市部署的人口、经济、农业等重大普查调查，汇总、整理和提供有关县情县力方面的统计数据。</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sz w:val="32"/>
          <w:szCs w:val="32"/>
        </w:rPr>
        <w:t>组织实施全县农林牧渔业、工业、建筑业、批发和零售业、住宿和餐饮业、房地产、服务业及能源、投资、消费、人口和城镇化率、劳动工资、就业、社会、科技、文化产业、县镇村三级社会经济基本情况、资源环境、战略性新兴产业、高新技术产业、民营经济、全面建成小康社会统计监测、社情民意调查等统计调查，收集、汇总、整理和提供统计数据。</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sz w:val="32"/>
          <w:szCs w:val="32"/>
        </w:rPr>
        <w:t>组织实施县域经济发展、农业产业化、特色小镇、节能降耗、绿色发展、企业景气、妇女儿童监测、新产业新业态新商业模式（以下简称新经济）、高质量发展、京津部分区（县）等统计监测，收集、整理和提供统计数据。</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w:t>
      </w:r>
      <w:r>
        <w:rPr>
          <w:rFonts w:hint="eastAsia" w:ascii="仿宋_GB2312" w:hAnsi="仿宋_GB2312" w:eastAsia="仿宋_GB2312" w:cs="仿宋_GB2312"/>
          <w:sz w:val="32"/>
          <w:szCs w:val="32"/>
        </w:rPr>
        <w:t xml:space="preserve"> 综合整理和提供财政、金融、旅游、交通运输、邮政、地质勘查、教育、体育、卫生、社会保障、公用事业、</w:t>
      </w:r>
      <w:r>
        <w:rPr>
          <w:rFonts w:hint="eastAsia" w:ascii="仿宋_GB2312" w:hAnsi="仿宋_GB2312" w:eastAsia="仿宋_GB2312" w:cs="仿宋_GB2312"/>
          <w:bCs/>
          <w:sz w:val="32"/>
          <w:szCs w:val="32"/>
        </w:rPr>
        <w:t>对外经济、</w:t>
      </w:r>
      <w:r>
        <w:rPr>
          <w:rFonts w:hint="eastAsia" w:ascii="仿宋_GB2312" w:hAnsi="仿宋_GB2312" w:eastAsia="仿宋_GB2312" w:cs="仿宋_GB2312"/>
          <w:sz w:val="32"/>
          <w:szCs w:val="32"/>
        </w:rPr>
        <w:t>收入、价格等基本统计数据。</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(八)组织全县各部门的经济、社会、科技统计调查，统一核定、管理、公布全县性基本统计资料，定期发布全县国民经济和社会发展情况的统计信息。组织建立统计信息共享制度和发布制度。</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(九)对国民经济、社会发展、科技进步</w:t>
      </w:r>
      <w:r>
        <w:rPr>
          <w:rFonts w:hint="eastAsia" w:ascii="仿宋_GB2312" w:hAnsi="仿宋_GB2312" w:eastAsia="仿宋_GB2312" w:cs="仿宋_GB2312"/>
          <w:sz w:val="32"/>
          <w:szCs w:val="32"/>
        </w:rPr>
        <w:t>和资源环境</w:t>
      </w:r>
      <w:r>
        <w:rPr>
          <w:rFonts w:hint="eastAsia" w:ascii="仿宋_GB2312" w:hAnsi="仿宋_GB2312" w:eastAsia="仿宋_GB2312" w:cs="仿宋_GB2312"/>
          <w:color w:val="000000"/>
          <w:sz w:val="32"/>
          <w:szCs w:val="32"/>
        </w:rPr>
        <w:t>等情况进行统计分析、统计预测和统计监督，向县委、县政府及有关部门提供统计信息和咨询建议。</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sz w:val="32"/>
          <w:szCs w:val="32"/>
        </w:rPr>
        <w:t xml:space="preserve"> 依法依规管理县级政府部门统计调查项目。</w:t>
      </w:r>
      <w:r>
        <w:rPr>
          <w:rFonts w:hint="eastAsia" w:ascii="仿宋_GB2312" w:hAnsi="仿宋_GB2312" w:eastAsia="仿宋_GB2312" w:cs="仿宋_GB2312"/>
          <w:color w:val="000000"/>
          <w:sz w:val="32"/>
          <w:szCs w:val="32"/>
        </w:rPr>
        <w:t>指导专业统计基础工作、统计基层业务和规范化建设。组织建立统计信息管理制度，建立健全统计数据质量审核、监控和评估制度，</w:t>
      </w:r>
      <w:r>
        <w:rPr>
          <w:rFonts w:hint="eastAsia" w:ascii="仿宋_GB2312" w:hAnsi="仿宋_GB2312" w:eastAsia="仿宋_GB2312" w:cs="仿宋_GB2312"/>
          <w:sz w:val="32"/>
          <w:szCs w:val="32"/>
        </w:rPr>
        <w:t>开展对统计数据质量的检查和评估。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(十一)加强基层统计人员培训，指导全县统计专业技术队伍建设。指导所属事业单位</w:t>
      </w:r>
      <w:r>
        <w:rPr>
          <w:rFonts w:hint="eastAsia" w:ascii="仿宋_GB2312" w:hAnsi="仿宋_GB2312" w:eastAsia="仿宋_GB2312" w:cs="仿宋_GB2312"/>
          <w:sz w:val="32"/>
          <w:szCs w:val="32"/>
        </w:rPr>
        <w:t>组织实施名录库建设、资料管理等工作。</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w:t>
      </w:r>
      <w:r>
        <w:rPr>
          <w:rFonts w:hint="eastAsia" w:ascii="仿宋_GB2312" w:hAnsi="仿宋_GB2312" w:eastAsia="仿宋_GB2312" w:cs="仿宋_GB2312"/>
          <w:sz w:val="32"/>
          <w:szCs w:val="32"/>
        </w:rPr>
        <w:t>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spacing w:line="560" w:lineRule="exact"/>
        <w:ind w:firstLine="640" w:firstLineChars="200"/>
        <w:rPr>
          <w:rFonts w:ascii="仿宋_GB2312" w:hAnsi="Calibri" w:eastAsia="仿宋_GB2312" w:cs="ArialUnicodeM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sz w:val="32"/>
          <w:szCs w:val="32"/>
        </w:rPr>
        <w:t>(十三)承办县委、县政府</w:t>
      </w:r>
      <w:r>
        <w:rPr>
          <w:rFonts w:hint="eastAsia" w:ascii="仿宋_GB2312" w:hAnsi="仿宋_GB2312" w:eastAsia="仿宋_GB2312" w:cs="仿宋_GB2312"/>
          <w:sz w:val="32"/>
          <w:szCs w:val="32"/>
        </w:rPr>
        <w:t>和上级统计部门交办的其他任务</w:t>
      </w:r>
      <w:r>
        <w:rPr>
          <w:rFonts w:hint="eastAsia" w:ascii="仿宋_GB2312" w:hAnsi="仿宋_GB2312" w:eastAsia="仿宋_GB2312" w:cs="仿宋_GB2312"/>
          <w:color w:val="000000"/>
          <w:sz w:val="32"/>
          <w:szCs w:val="32"/>
        </w:rPr>
        <w:t>。</w:t>
      </w:r>
    </w:p>
    <w:p>
      <w:pPr>
        <w:keepNext/>
        <w:keepLines/>
        <w:spacing w:line="580" w:lineRule="exact"/>
        <w:ind w:firstLine="640" w:firstLineChars="200"/>
        <w:jc w:val="left"/>
        <w:outlineLvl w:val="0"/>
        <w:rPr>
          <w:rFonts w:ascii="黑体" w:hAnsi="Calibri" w:eastAsia="黑体" w:cs="黑体"/>
          <w:color w:val="000000" w:themeColor="text1"/>
          <w:kern w:val="0"/>
          <w:sz w:val="32"/>
          <w:szCs w:val="32"/>
          <w14:textFill>
            <w14:solidFill>
              <w14:schemeClr w14:val="tx1"/>
            </w14:solidFill>
          </w14:textFill>
        </w:rPr>
      </w:pPr>
      <w:r>
        <w:rPr>
          <w:rFonts w:hint="eastAsia" w:ascii="黑体" w:hAnsi="Calibri" w:eastAsia="黑体" w:cs="黑体"/>
          <w:color w:val="000000" w:themeColor="text1"/>
          <w:kern w:val="0"/>
          <w:sz w:val="32"/>
          <w:szCs w:val="32"/>
          <w14:textFill>
            <w14:solidFill>
              <w14:schemeClr w14:val="tx1"/>
            </w14:solidFill>
          </w14:textFill>
        </w:rPr>
        <w:t>二、机构设置</w:t>
      </w:r>
    </w:p>
    <w:p>
      <w:pPr>
        <w:spacing w:line="580" w:lineRule="exact"/>
        <w:ind w:firstLine="640" w:firstLineChars="200"/>
        <w:rPr>
          <w:rFonts w:ascii="仿宋_GB2312" w:hAnsi="Calibri" w:eastAsia="仿宋_GB2312" w:cs="ArialUnicodeMS"/>
          <w:color w:val="000000" w:themeColor="text1"/>
          <w:kern w:val="0"/>
          <w:sz w:val="32"/>
          <w:szCs w:val="32"/>
          <w14:textFill>
            <w14:solidFill>
              <w14:schemeClr w14:val="tx1"/>
            </w14:solidFill>
          </w14:textFill>
        </w:rPr>
      </w:pPr>
      <w:r>
        <w:rPr>
          <w:rFonts w:hint="eastAsia" w:ascii="仿宋_GB2312" w:hAnsi="Calibri" w:eastAsia="仿宋_GB2312" w:cs="ArialUnicodeMS"/>
          <w:color w:val="000000" w:themeColor="text1"/>
          <w:kern w:val="0"/>
          <w:sz w:val="32"/>
          <w:szCs w:val="32"/>
          <w14:textFill>
            <w14:solidFill>
              <w14:schemeClr w14:val="tx1"/>
            </w14:solidFill>
          </w14:textFill>
        </w:rPr>
        <w:t>从决算编报单位构成看，纳入2019 年度本部门决算汇编范围的独立核算单位（以下简称“单位”）共</w:t>
      </w:r>
      <w:r>
        <w:rPr>
          <w:rFonts w:hint="eastAsia" w:ascii="仿宋_GB2312" w:hAnsi="Calibri" w:eastAsia="仿宋_GB2312" w:cs="ArialUnicodeMS"/>
          <w:color w:val="000000" w:themeColor="text1"/>
          <w:kern w:val="0"/>
          <w:sz w:val="32"/>
          <w:szCs w:val="32"/>
          <w:lang w:val="en-US" w:eastAsia="zh-CN"/>
          <w14:textFill>
            <w14:solidFill>
              <w14:schemeClr w14:val="tx1"/>
            </w14:solidFill>
          </w14:textFill>
        </w:rPr>
        <w:t>1</w:t>
      </w:r>
      <w:r>
        <w:rPr>
          <w:rFonts w:hint="eastAsia" w:ascii="仿宋_GB2312" w:hAnsi="Calibri" w:eastAsia="仿宋_GB2312" w:cs="ArialUnicodeMS"/>
          <w:color w:val="000000" w:themeColor="text1"/>
          <w:kern w:val="0"/>
          <w:sz w:val="32"/>
          <w:szCs w:val="32"/>
          <w14:textFill>
            <w14:solidFill>
              <w14:schemeClr w14:val="tx1"/>
            </w14:solidFill>
          </w14:textFill>
        </w:rPr>
        <w:t>个，具体情况如下：</w:t>
      </w:r>
    </w:p>
    <w:tbl>
      <w:tblPr>
        <w:tblStyle w:val="9"/>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925"/>
        <w:gridCol w:w="200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center"/>
          </w:tcPr>
          <w:p>
            <w:pPr>
              <w:spacing w:after="0"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eastAsia="仿宋_GB2312" w:cs="ArialUnicodeMS" w:hAnsiTheme="minorHAnsi"/>
                <w:b/>
                <w:bCs/>
                <w:kern w:val="0"/>
                <w:sz w:val="28"/>
                <w:szCs w:val="28"/>
              </w:rPr>
              <w:t>序号</w:t>
            </w:r>
          </w:p>
        </w:tc>
        <w:tc>
          <w:tcPr>
            <w:tcW w:w="3925" w:type="dxa"/>
            <w:vAlign w:val="center"/>
          </w:tcPr>
          <w:p>
            <w:pPr>
              <w:spacing w:after="0"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eastAsia="仿宋_GB2312" w:cs="ArialUnicodeMS" w:hAnsiTheme="minorHAnsi"/>
                <w:b/>
                <w:bCs/>
                <w:kern w:val="0"/>
                <w:sz w:val="28"/>
                <w:szCs w:val="28"/>
              </w:rPr>
              <w:t>单位名称</w:t>
            </w:r>
          </w:p>
        </w:tc>
        <w:tc>
          <w:tcPr>
            <w:tcW w:w="2005" w:type="dxa"/>
            <w:vAlign w:val="center"/>
          </w:tcPr>
          <w:p>
            <w:pPr>
              <w:spacing w:after="0"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eastAsia="仿宋_GB2312" w:cs="ArialUnicodeMS" w:hAnsiTheme="minorHAnsi"/>
                <w:kern w:val="0"/>
                <w:sz w:val="28"/>
                <w:szCs w:val="28"/>
              </w:rPr>
              <w:t>1</w:t>
            </w:r>
          </w:p>
        </w:tc>
        <w:tc>
          <w:tcPr>
            <w:tcW w:w="3925" w:type="dxa"/>
            <w:vAlign w:val="top"/>
          </w:tcPr>
          <w:p>
            <w:pPr>
              <w:spacing w:after="0" w:line="560" w:lineRule="exact"/>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eastAsia="仿宋_GB2312" w:cs="ArialUnicodeMS" w:hAnsiTheme="minorHAnsi"/>
                <w:kern w:val="0"/>
                <w:sz w:val="28"/>
                <w:szCs w:val="28"/>
                <w:lang w:eastAsia="zh-CN"/>
              </w:rPr>
              <w:t>大厂回族自治县统计局</w:t>
            </w:r>
            <w:r>
              <w:rPr>
                <w:rFonts w:hint="eastAsia" w:ascii="仿宋_GB2312" w:eastAsia="仿宋_GB2312" w:cs="ArialUnicodeMS" w:hAnsiTheme="minorHAnsi"/>
                <w:kern w:val="0"/>
                <w:sz w:val="28"/>
                <w:szCs w:val="28"/>
              </w:rPr>
              <w:t>(本级)</w:t>
            </w:r>
          </w:p>
        </w:tc>
        <w:tc>
          <w:tcPr>
            <w:tcW w:w="2005" w:type="dxa"/>
            <w:vAlign w:val="top"/>
          </w:tcPr>
          <w:p>
            <w:pPr>
              <w:spacing w:after="0"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eastAsia="仿宋_GB2312" w:cs="ArialUnicodeMS" w:hAnsiTheme="minorHAnsi"/>
                <w:kern w:val="0"/>
                <w:sz w:val="28"/>
                <w:szCs w:val="28"/>
                <w:lang w:eastAsia="zh-CN"/>
              </w:rPr>
              <w:t>行政单位</w:t>
            </w:r>
          </w:p>
        </w:tc>
        <w:tc>
          <w:tcPr>
            <w:tcW w:w="2665" w:type="dxa"/>
            <w:vAlign w:val="top"/>
          </w:tcPr>
          <w:p>
            <w:pPr>
              <w:spacing w:after="0"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eastAsia="仿宋_GB2312" w:cs="ArialUnicodeMS" w:hAnsiTheme="minorHAnsi"/>
                <w:kern w:val="0"/>
                <w:sz w:val="28"/>
                <w:szCs w:val="28"/>
                <w:lang w:eastAsia="zh-CN"/>
              </w:rPr>
              <w:t>财政拨款</w:t>
            </w:r>
          </w:p>
        </w:tc>
      </w:tr>
    </w:tbl>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pgSz w:w="11906" w:h="16838"/>
          <w:pgMar w:top="2041" w:right="1531" w:bottom="2041" w:left="1531" w:header="851" w:footer="992" w:gutter="0"/>
          <w:pgNumType w:fmt="numberInDash"/>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7"/>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一、收入</w:t>
      </w:r>
      <w:r>
        <w:rPr>
          <w:rFonts w:hint="eastAsia" w:ascii="黑体" w:hAnsi="Cambria" w:eastAsia="黑体" w:cs="黑体"/>
          <w:color w:val="000000" w:themeColor="text1"/>
          <w:kern w:val="0"/>
          <w:sz w:val="32"/>
          <w:szCs w:val="32"/>
          <w14:textFill>
            <w14:solidFill>
              <w14:schemeClr w14:val="tx1"/>
            </w14:solidFill>
          </w14:textFill>
        </w:rPr>
        <w:t>支出</w:t>
      </w:r>
      <w:r>
        <w:rPr>
          <w:rFonts w:hint="eastAsia" w:ascii="黑体" w:hAnsi="Calibri" w:eastAsia="黑体" w:cs="Times New Roman"/>
          <w:color w:val="000000" w:themeColor="text1"/>
          <w:sz w:val="32"/>
          <w:szCs w:val="32"/>
          <w14:textFill>
            <w14:solidFill>
              <w14:schemeClr w14:val="tx1"/>
            </w14:solidFill>
          </w14:textFill>
        </w:rPr>
        <w:t>决算总体情况说明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本部门2019年度收支总计（含结转和结余）</w:t>
      </w:r>
      <w:r>
        <w:rPr>
          <w:rFonts w:hint="eastAsia" w:ascii="仿宋_GB2312" w:eastAsia="仿宋_GB2312" w:cs="DengXian-Regular"/>
          <w:sz w:val="32"/>
          <w:szCs w:val="32"/>
          <w:lang w:val="en-US" w:eastAsia="zh-CN"/>
        </w:rPr>
        <w:t>589.25</w:t>
      </w:r>
      <w:r>
        <w:rPr>
          <w:rFonts w:hint="eastAsia" w:ascii="仿宋_GB2312" w:hAnsi="Times New Roman" w:eastAsia="仿宋_GB2312" w:cs="DengXian-Regular"/>
          <w:color w:val="000000" w:themeColor="text1"/>
          <w:sz w:val="32"/>
          <w:szCs w:val="32"/>
          <w14:textFill>
            <w14:solidFill>
              <w14:schemeClr w14:val="tx1"/>
            </w14:solidFill>
          </w14:textFill>
        </w:rPr>
        <w:t>万元。与2018年度决算相比，收支各增加</w:t>
      </w:r>
      <w:r>
        <w:rPr>
          <w:rFonts w:hint="eastAsia" w:ascii="仿宋_GB2312" w:eastAsia="仿宋_GB2312" w:cs="DengXian-Regular"/>
          <w:sz w:val="32"/>
          <w:szCs w:val="32"/>
          <w:lang w:val="en-US" w:eastAsia="zh-CN"/>
        </w:rPr>
        <w:t>2.29</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eastAsia="仿宋_GB2312" w:cs="DengXian-Regular"/>
          <w:sz w:val="32"/>
          <w:szCs w:val="32"/>
          <w:lang w:val="en-US" w:eastAsia="zh-CN"/>
        </w:rPr>
        <w:t>0.39</w:t>
      </w:r>
      <w:r>
        <w:rPr>
          <w:rFonts w:hint="eastAsia" w:ascii="仿宋_GB2312" w:hAnsi="Times New Roman" w:eastAsia="仿宋_GB2312" w:cs="DengXian-Regular"/>
          <w:color w:val="000000" w:themeColor="text1"/>
          <w:sz w:val="32"/>
          <w:szCs w:val="32"/>
          <w14:textFill>
            <w14:solidFill>
              <w14:schemeClr w14:val="tx1"/>
            </w14:solidFill>
          </w14:textFill>
        </w:rPr>
        <w:t>%，主要原因是</w:t>
      </w:r>
      <w:r>
        <w:rPr>
          <w:rFonts w:hint="eastAsia" w:ascii="仿宋" w:hAnsi="仿宋" w:eastAsia="仿宋"/>
          <w:sz w:val="32"/>
          <w:szCs w:val="32"/>
          <w:lang w:val="en-US" w:eastAsia="zh-CN"/>
        </w:rPr>
        <w:t>人员经费有所增加。</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二、收入决算情况说明</w:t>
      </w:r>
    </w:p>
    <w:p>
      <w:pPr>
        <w:pStyle w:val="3"/>
        <w:spacing w:before="0" w:after="0" w:line="580" w:lineRule="exact"/>
        <w:ind w:firstLine="640" w:firstLineChars="200"/>
        <w:rPr>
          <w:rFonts w:ascii="黑体" w:hAnsi="Calibri" w:eastAsia="黑体" w:cs="Times New Roman"/>
          <w:b/>
          <w:bCs/>
          <w:color w:val="000000" w:themeColor="text1"/>
          <w:sz w:val="32"/>
          <w:szCs w:val="32"/>
          <w14:textFill>
            <w14:solidFill>
              <w14:schemeClr w14:val="tx1"/>
            </w14:solidFill>
          </w14:textFill>
        </w:rPr>
      </w:pPr>
      <w:r>
        <w:rPr>
          <w:rFonts w:hint="eastAsia" w:ascii="仿宋_GB2312" w:hAnsi="Times New Roman" w:eastAsia="仿宋_GB2312" w:cs="DengXian-Regular"/>
          <w:b w:val="0"/>
          <w:bCs w:val="0"/>
          <w:color w:val="000000" w:themeColor="text1"/>
          <w:sz w:val="32"/>
          <w:szCs w:val="32"/>
          <w14:textFill>
            <w14:solidFill>
              <w14:schemeClr w14:val="tx1"/>
            </w14:solidFill>
          </w14:textFill>
        </w:rPr>
        <w:t>本部门2019年度本年收入合计</w:t>
      </w:r>
      <w:r>
        <w:rPr>
          <w:rFonts w:hint="eastAsia" w:ascii="仿宋_GB2312" w:eastAsia="仿宋_GB2312" w:cs="DengXian-Regular"/>
          <w:b w:val="0"/>
          <w:bCs w:val="0"/>
          <w:sz w:val="32"/>
          <w:szCs w:val="32"/>
          <w:lang w:val="en-US" w:eastAsia="zh-CN"/>
        </w:rPr>
        <w:t>583.91</w:t>
      </w:r>
      <w:r>
        <w:rPr>
          <w:rFonts w:hint="eastAsia" w:ascii="仿宋_GB2312" w:hAnsi="Times New Roman" w:eastAsia="仿宋_GB2312" w:cs="DengXian-Regular"/>
          <w:b w:val="0"/>
          <w:bCs w:val="0"/>
          <w:color w:val="000000" w:themeColor="text1"/>
          <w:sz w:val="32"/>
          <w:szCs w:val="32"/>
          <w14:textFill>
            <w14:solidFill>
              <w14:schemeClr w14:val="tx1"/>
            </w14:solidFill>
          </w14:textFill>
        </w:rPr>
        <w:t>万元，</w:t>
      </w:r>
      <w:r>
        <w:rPr>
          <w:rFonts w:hint="eastAsia" w:ascii="仿宋_GB2312" w:eastAsia="仿宋_GB2312" w:cs="DengXian-Regular"/>
          <w:b w:val="0"/>
          <w:bCs w:val="0"/>
          <w:sz w:val="32"/>
          <w:szCs w:val="32"/>
          <w:lang w:eastAsia="zh-CN"/>
        </w:rPr>
        <w:t>均为</w:t>
      </w:r>
      <w:r>
        <w:rPr>
          <w:rFonts w:hint="eastAsia" w:ascii="仿宋_GB2312" w:eastAsia="仿宋_GB2312" w:cs="DengXian-Regular"/>
          <w:b w:val="0"/>
          <w:bCs w:val="0"/>
          <w:sz w:val="32"/>
          <w:szCs w:val="32"/>
        </w:rPr>
        <w:t>财政拨款收入</w:t>
      </w:r>
      <w:r>
        <w:rPr>
          <w:rFonts w:hint="eastAsia" w:eastAsia="仿宋_GB2312"/>
          <w:b w:val="0"/>
          <w:bCs w:val="0"/>
          <w:sz w:val="32"/>
          <w:szCs w:val="32"/>
          <w:lang w:eastAsia="zh-CN"/>
        </w:rPr>
        <w:t>。</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三、支出决算情况说明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本部门2019年度本年支出合计</w:t>
      </w:r>
      <w:r>
        <w:rPr>
          <w:rFonts w:hint="eastAsia" w:ascii="仿宋_GB2312" w:eastAsia="仿宋_GB2312" w:cs="DengXian-Regular"/>
          <w:sz w:val="32"/>
          <w:szCs w:val="32"/>
          <w:lang w:val="en-US" w:eastAsia="zh-CN"/>
        </w:rPr>
        <w:t>587.79</w:t>
      </w:r>
      <w:r>
        <w:rPr>
          <w:rFonts w:hint="eastAsia" w:ascii="仿宋_GB2312" w:hAnsi="Times New Roman" w:eastAsia="仿宋_GB2312" w:cs="DengXian-Regular"/>
          <w:color w:val="000000" w:themeColor="text1"/>
          <w:sz w:val="32"/>
          <w:szCs w:val="32"/>
          <w14:textFill>
            <w14:solidFill>
              <w14:schemeClr w14:val="tx1"/>
            </w14:solidFill>
          </w14:textFill>
        </w:rPr>
        <w:t>万元，其中：基本支出</w:t>
      </w:r>
      <w:r>
        <w:rPr>
          <w:rFonts w:hint="eastAsia" w:ascii="仿宋_GB2312" w:hAnsi="仿宋_GB2312" w:eastAsia="仿宋_GB2312" w:cs="仿宋_GB2312"/>
          <w:i w:val="0"/>
          <w:color w:val="000000"/>
          <w:kern w:val="0"/>
          <w:sz w:val="32"/>
          <w:szCs w:val="32"/>
          <w:u w:val="none"/>
          <w:lang w:val="en-US" w:eastAsia="zh-CN" w:bidi="ar"/>
        </w:rPr>
        <w:t>544.60</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eastAsia="仿宋_GB2312" w:cs="DengXian-Regular"/>
          <w:sz w:val="32"/>
          <w:szCs w:val="32"/>
          <w:lang w:val="en-US" w:eastAsia="zh-CN"/>
        </w:rPr>
        <w:t>92.65</w:t>
      </w:r>
      <w:r>
        <w:rPr>
          <w:rFonts w:hint="eastAsia" w:ascii="仿宋_GB2312" w:hAnsi="Times New Roman" w:eastAsia="仿宋_GB2312" w:cs="DengXian-Regular"/>
          <w:color w:val="000000" w:themeColor="text1"/>
          <w:sz w:val="32"/>
          <w:szCs w:val="32"/>
          <w14:textFill>
            <w14:solidFill>
              <w14:schemeClr w14:val="tx1"/>
            </w14:solidFill>
          </w14:textFill>
        </w:rPr>
        <w:t>%；项目支出</w:t>
      </w:r>
      <w:r>
        <w:rPr>
          <w:rFonts w:hint="eastAsia" w:ascii="仿宋_GB2312" w:eastAsia="仿宋_GB2312" w:cs="DengXian-Regular"/>
          <w:sz w:val="32"/>
          <w:szCs w:val="32"/>
          <w:lang w:val="en-US" w:eastAsia="zh-CN"/>
        </w:rPr>
        <w:t>43.19</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eastAsia="仿宋_GB2312" w:cs="DengXian-Regular"/>
          <w:sz w:val="32"/>
          <w:szCs w:val="32"/>
          <w:lang w:val="en-US" w:eastAsia="zh-CN"/>
        </w:rPr>
        <w:t>7.35</w:t>
      </w:r>
      <w:r>
        <w:rPr>
          <w:rFonts w:hint="eastAsia" w:ascii="仿宋_GB2312" w:hAnsi="Times New Roman" w:eastAsia="仿宋_GB2312" w:cs="DengXian-Regular"/>
          <w:color w:val="000000" w:themeColor="text1"/>
          <w:sz w:val="32"/>
          <w:szCs w:val="32"/>
          <w14:textFill>
            <w14:solidFill>
              <w14:schemeClr w14:val="tx1"/>
            </w14:solidFill>
          </w14:textFill>
        </w:rPr>
        <w:t>%。如图所示：</w:t>
      </w:r>
    </w:p>
    <w:p>
      <w:pPr>
        <w:adjustRightInd w:val="0"/>
        <w:snapToGrid w:val="0"/>
        <w:spacing w:after="160" w:line="560" w:lineRule="exact"/>
        <w:jc w:val="center"/>
        <w:rPr>
          <w:rFonts w:ascii="仿宋_GB2312" w:hAnsi="Times New Roman" w:eastAsia="仿宋_GB2312" w:cs="DengXian-Regular"/>
          <w:sz w:val="32"/>
          <w:szCs w:val="32"/>
        </w:rPr>
      </w:pPr>
      <w:r>
        <w:rPr>
          <w:rFonts w:hint="eastAsia" w:ascii="仿宋_GB2312" w:hAnsi="Times New Roman" w:eastAsia="仿宋_GB2312" w:cs="DengXian-Regular"/>
          <w:sz w:val="32"/>
          <w:szCs w:val="32"/>
        </w:rPr>
        <w:t>图</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：支出构成情况（按支出性质）</w:t>
      </w:r>
    </w:p>
    <w:p>
      <w:pPr>
        <w:adjustRightInd w:val="0"/>
        <w:snapToGrid w:val="0"/>
        <w:spacing w:line="580" w:lineRule="exact"/>
        <w:ind w:firstLine="1260" w:firstLineChars="600"/>
        <w:rPr>
          <w:rFonts w:ascii="仿宋_GB2312" w:hAnsi="Times New Roman" w:eastAsia="仿宋_GB2312" w:cs="DengXian-Regular"/>
          <w:color w:val="000000" w:themeColor="text1"/>
          <w:sz w:val="32"/>
          <w:szCs w:val="32"/>
          <w14:textFill>
            <w14:solidFill>
              <w14:schemeClr w14:val="tx1"/>
            </w14:solidFill>
          </w14:textFill>
        </w:rPr>
      </w:pPr>
      <w:r>
        <w:rPr>
          <w:bdr w:val="single" w:sz="4" w:space="0"/>
        </w:rPr>
        <w:drawing>
          <wp:anchor distT="0" distB="0" distL="114300" distR="114300" simplePos="0" relativeHeight="437284864" behindDoc="1" locked="0" layoutInCell="1" allowOverlap="1">
            <wp:simplePos x="0" y="0"/>
            <wp:positionH relativeFrom="column">
              <wp:posOffset>732155</wp:posOffset>
            </wp:positionH>
            <wp:positionV relativeFrom="paragraph">
              <wp:posOffset>330200</wp:posOffset>
            </wp:positionV>
            <wp:extent cx="3938905" cy="2849245"/>
            <wp:effectExtent l="0" t="0" r="4445" b="8255"/>
            <wp:wrapTight wrapText="bothSides">
              <wp:wrapPolygon>
                <wp:start x="0" y="0"/>
                <wp:lineTo x="0" y="21518"/>
                <wp:lineTo x="21520" y="21518"/>
                <wp:lineTo x="21520" y="0"/>
                <wp:lineTo x="0" y="0"/>
              </wp:wrapPolygon>
            </wp:wrapTight>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pic:cNvPicPr>
                      <a:picLocks noChangeAspect="1"/>
                    </pic:cNvPicPr>
                  </pic:nvPicPr>
                  <pic:blipFill>
                    <a:blip r:embed="rId28">
                      <a:lum contrast="-6001"/>
                    </a:blip>
                    <a:stretch>
                      <a:fillRect/>
                    </a:stretch>
                  </pic:blipFill>
                  <pic:spPr>
                    <a:xfrm>
                      <a:off x="0" y="0"/>
                      <a:ext cx="3938905" cy="2849245"/>
                    </a:xfrm>
                    <a:prstGeom prst="rect">
                      <a:avLst/>
                    </a:prstGeom>
                    <a:solidFill>
                      <a:srgbClr val="FFFFFF"/>
                    </a:solidFill>
                    <a:ln>
                      <a:noFill/>
                    </a:ln>
                  </pic:spPr>
                </pic:pic>
              </a:graphicData>
            </a:graphic>
          </wp:anchor>
        </w:drawing>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四、</w:t>
      </w:r>
      <w:r>
        <w:rPr>
          <w:rFonts w:hint="eastAsia" w:ascii="黑体" w:hAnsi="Cambria" w:eastAsia="黑体" w:cs="黑体"/>
          <w:color w:val="000000" w:themeColor="text1"/>
          <w:kern w:val="0"/>
          <w:sz w:val="32"/>
          <w:szCs w:val="32"/>
          <w14:textFill>
            <w14:solidFill>
              <w14:schemeClr w14:val="tx1"/>
            </w14:solidFill>
          </w14:textFill>
        </w:rPr>
        <w:t>财政</w:t>
      </w:r>
      <w:r>
        <w:rPr>
          <w:rFonts w:hint="eastAsia" w:ascii="黑体" w:hAnsi="Calibri" w:eastAsia="黑体" w:cs="Times New Roman"/>
          <w:color w:val="000000" w:themeColor="text1"/>
          <w:sz w:val="32"/>
          <w:szCs w:val="32"/>
          <w14:textFill>
            <w14:solidFill>
              <w14:schemeClr w14:val="tx1"/>
            </w14:solidFill>
          </w14:textFill>
        </w:rPr>
        <w:t>拨款收入支出决算总体情况说明</w:t>
      </w:r>
    </w:p>
    <w:p>
      <w:pPr>
        <w:snapToGrid w:val="0"/>
        <w:spacing w:line="580" w:lineRule="exact"/>
        <w:ind w:firstLine="643" w:firstLineChars="200"/>
        <w:rPr>
          <w:rFonts w:ascii="仿宋_GB2312" w:hAnsi="Times New Roman" w:eastAsia="仿宋_GB2312" w:cs="DengXian-Regular"/>
          <w:color w:val="000000" w:themeColor="text1"/>
          <w:sz w:val="32"/>
          <w:szCs w:val="32"/>
          <w:highlight w:val="yellow"/>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（一）财政拨款收支与2018 年度决算对比情况</w:t>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本部门2019年度形成的财政拨款收支均为一般公共预算财政拨款，其中本年收入</w:t>
      </w:r>
      <w:r>
        <w:rPr>
          <w:rFonts w:hint="eastAsia" w:ascii="仿宋_GB2312" w:eastAsia="仿宋_GB2312" w:cs="DengXian-Regular"/>
          <w:sz w:val="32"/>
          <w:szCs w:val="32"/>
          <w:lang w:val="en-US" w:eastAsia="zh-CN"/>
        </w:rPr>
        <w:t>583.91</w:t>
      </w:r>
      <w:r>
        <w:rPr>
          <w:rFonts w:hint="eastAsia" w:ascii="仿宋_GB2312" w:hAnsi="Times New Roman" w:eastAsia="仿宋_GB2312" w:cs="DengXian-Regular"/>
          <w:color w:val="000000" w:themeColor="text1"/>
          <w:sz w:val="32"/>
          <w:szCs w:val="32"/>
          <w14:textFill>
            <w14:solidFill>
              <w14:schemeClr w14:val="tx1"/>
            </w14:solidFill>
          </w14:textFill>
        </w:rPr>
        <w:t>万元,比2018年度增加</w:t>
      </w:r>
      <w:r>
        <w:rPr>
          <w:rFonts w:hint="eastAsia" w:ascii="仿宋_GB2312" w:eastAsia="仿宋_GB2312" w:cs="DengXian-Regular"/>
          <w:sz w:val="32"/>
          <w:szCs w:val="32"/>
          <w:lang w:val="en-US" w:eastAsia="zh-CN"/>
        </w:rPr>
        <w:t>2.84</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eastAsia="仿宋_GB2312" w:cs="DengXian-Regular"/>
          <w:sz w:val="32"/>
          <w:szCs w:val="32"/>
          <w:lang w:val="en-US" w:eastAsia="zh-CN"/>
        </w:rPr>
        <w:t>0.49</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 w:hAnsi="仿宋" w:eastAsia="仿宋"/>
          <w:sz w:val="32"/>
          <w:szCs w:val="32"/>
          <w:lang w:val="en-US" w:eastAsia="zh-CN"/>
        </w:rPr>
        <w:t>人员经费有所增加</w:t>
      </w:r>
      <w:r>
        <w:rPr>
          <w:rFonts w:hint="eastAsia" w:ascii="仿宋_GB2312" w:hAnsi="Times New Roman" w:eastAsia="仿宋_GB2312" w:cs="DengXian-Regular"/>
          <w:color w:val="000000" w:themeColor="text1"/>
          <w:sz w:val="32"/>
          <w:szCs w:val="32"/>
          <w14:textFill>
            <w14:solidFill>
              <w14:schemeClr w14:val="tx1"/>
            </w14:solidFill>
          </w14:textFill>
        </w:rPr>
        <w:t>；本年支出</w:t>
      </w:r>
      <w:r>
        <w:rPr>
          <w:rFonts w:hint="eastAsia" w:ascii="仿宋_GB2312" w:eastAsia="仿宋_GB2312" w:cs="DengXian-Regular"/>
          <w:sz w:val="32"/>
          <w:szCs w:val="32"/>
          <w:lang w:val="en-US" w:eastAsia="zh-CN"/>
        </w:rPr>
        <w:t>584.59</w:t>
      </w:r>
      <w:r>
        <w:rPr>
          <w:rFonts w:hint="eastAsia" w:ascii="仿宋_GB2312" w:hAnsi="Times New Roman" w:eastAsia="仿宋_GB2312" w:cs="DengXian-Regular"/>
          <w:color w:val="000000" w:themeColor="text1"/>
          <w:sz w:val="32"/>
          <w:szCs w:val="32"/>
          <w14:textFill>
            <w14:solidFill>
              <w14:schemeClr w14:val="tx1"/>
            </w14:solidFill>
          </w14:textFill>
        </w:rPr>
        <w:t>万元，增加</w:t>
      </w:r>
      <w:r>
        <w:rPr>
          <w:rFonts w:hint="eastAsia" w:ascii="仿宋_GB2312" w:eastAsia="仿宋_GB2312" w:cs="DengXian-Regular"/>
          <w:sz w:val="32"/>
          <w:szCs w:val="32"/>
          <w:lang w:val="en-US" w:eastAsia="zh-CN"/>
        </w:rPr>
        <w:t>5.36</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eastAsia="仿宋_GB2312" w:cs="DengXian-Regular"/>
          <w:sz w:val="32"/>
          <w:szCs w:val="32"/>
          <w:lang w:val="en-US" w:eastAsia="zh-CN"/>
        </w:rPr>
        <w:t>0.93</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 w:hAnsi="仿宋" w:eastAsia="仿宋"/>
          <w:sz w:val="32"/>
          <w:szCs w:val="32"/>
          <w:lang w:val="en-US" w:eastAsia="zh-CN"/>
        </w:rPr>
        <w:t>人员经费有所增加</w:t>
      </w:r>
      <w:r>
        <w:rPr>
          <w:rFonts w:hint="eastAsia" w:ascii="仿宋_GB2312" w:hAnsi="Times New Roman" w:eastAsia="仿宋_GB2312" w:cs="DengXian-Regular"/>
          <w:color w:val="000000" w:themeColor="text1"/>
          <w:sz w:val="32"/>
          <w:szCs w:val="32"/>
          <w14:textFill>
            <w14:solidFill>
              <w14:schemeClr w14:val="tx1"/>
            </w14:solidFill>
          </w14:textFill>
        </w:rPr>
        <w:t>。如图所示：</w:t>
      </w:r>
    </w:p>
    <w:p>
      <w:pPr>
        <w:adjustRightInd w:val="0"/>
        <w:snapToGrid w:val="0"/>
        <w:spacing w:line="580" w:lineRule="exact"/>
        <w:jc w:val="center"/>
        <w:rPr>
          <w:rFonts w:hint="eastAsia" w:ascii="仿宋_GB2312" w:hAnsi="Times New Roman" w:eastAsia="仿宋_GB2312" w:cs="DengXian-Regular"/>
          <w:color w:val="000000" w:themeColor="text1"/>
          <w:sz w:val="32"/>
          <w:szCs w:val="32"/>
          <w14:textFill>
            <w14:solidFill>
              <w14:schemeClr w14:val="tx1"/>
            </w14:solidFill>
          </w14:textFill>
        </w:rPr>
      </w:pPr>
      <w:r>
        <w:rPr>
          <w:rFonts w:hint="eastAsia" w:eastAsia="仿宋_GB2312"/>
          <w:sz w:val="32"/>
          <w:szCs w:val="32"/>
        </w:rPr>
        <w:t>图</w:t>
      </w:r>
      <w:r>
        <w:rPr>
          <w:rFonts w:hint="eastAsia" w:eastAsia="仿宋_GB2312"/>
          <w:sz w:val="32"/>
          <w:szCs w:val="32"/>
          <w:lang w:val="en-US" w:eastAsia="zh-CN"/>
        </w:rPr>
        <w:t>2</w:t>
      </w:r>
      <w:r>
        <w:rPr>
          <w:rFonts w:hint="eastAsia" w:eastAsia="仿宋_GB2312"/>
          <w:sz w:val="32"/>
          <w:szCs w:val="32"/>
        </w:rPr>
        <w:t>：财政拨款收支情况</w:t>
      </w:r>
    </w:p>
    <w:p>
      <w:pPr>
        <w:adjustRightInd w:val="0"/>
        <w:snapToGrid w:val="0"/>
        <w:spacing w:line="580" w:lineRule="exact"/>
        <w:ind w:firstLine="420" w:firstLineChars="200"/>
        <w:rPr>
          <w:rFonts w:hint="eastAsia" w:ascii="仿宋_GB2312" w:hAnsi="Times New Roman" w:eastAsia="仿宋_GB2312" w:cs="DengXian-Regular"/>
          <w:color w:val="000000" w:themeColor="text1"/>
          <w:sz w:val="32"/>
          <w:szCs w:val="32"/>
          <w14:textFill>
            <w14:solidFill>
              <w14:schemeClr w14:val="tx1"/>
            </w14:solidFill>
          </w14:textFill>
        </w:rPr>
      </w:pPr>
      <w:r>
        <w:drawing>
          <wp:anchor distT="0" distB="0" distL="114300" distR="114300" simplePos="0" relativeHeight="437288960" behindDoc="1" locked="0" layoutInCell="1" allowOverlap="1">
            <wp:simplePos x="0" y="0"/>
            <wp:positionH relativeFrom="column">
              <wp:posOffset>455930</wp:posOffset>
            </wp:positionH>
            <wp:positionV relativeFrom="paragraph">
              <wp:posOffset>228600</wp:posOffset>
            </wp:positionV>
            <wp:extent cx="4596130" cy="2767330"/>
            <wp:effectExtent l="0" t="0" r="13970" b="13970"/>
            <wp:wrapTight wrapText="bothSides">
              <wp:wrapPolygon>
                <wp:start x="0" y="0"/>
                <wp:lineTo x="0" y="21412"/>
                <wp:lineTo x="21487" y="21412"/>
                <wp:lineTo x="21487" y="0"/>
                <wp:lineTo x="0" y="0"/>
              </wp:wrapPolygon>
            </wp:wrapTight>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pic:cNvPicPr>
                  </pic:nvPicPr>
                  <pic:blipFill>
                    <a:blip r:embed="rId29"/>
                    <a:stretch>
                      <a:fillRect/>
                    </a:stretch>
                  </pic:blipFill>
                  <pic:spPr>
                    <a:xfrm>
                      <a:off x="0" y="0"/>
                      <a:ext cx="4596130" cy="2767330"/>
                    </a:xfrm>
                    <a:prstGeom prst="rect">
                      <a:avLst/>
                    </a:prstGeom>
                    <a:noFill/>
                    <a:ln>
                      <a:noFill/>
                    </a:ln>
                  </pic:spPr>
                </pic:pic>
              </a:graphicData>
            </a:graphic>
          </wp:anchor>
        </w:drawing>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snapToGrid w:val="0"/>
        <w:spacing w:line="580" w:lineRule="exact"/>
        <w:ind w:firstLine="643" w:firstLineChars="200"/>
        <w:rPr>
          <w:rFonts w:hint="eastAsia" w:ascii="楷体_GB2312" w:hAnsi="Times New Roman" w:eastAsia="楷体_GB2312" w:cs="DengXian-Bold"/>
          <w:b/>
          <w:bCs/>
          <w:color w:val="000000" w:themeColor="text1"/>
          <w:sz w:val="32"/>
          <w:szCs w:val="32"/>
          <w14:textFill>
            <w14:solidFill>
              <w14:schemeClr w14:val="tx1"/>
            </w14:solidFill>
          </w14:textFill>
        </w:rPr>
      </w:pPr>
    </w:p>
    <w:p>
      <w:pPr>
        <w:snapToGrid w:val="0"/>
        <w:spacing w:line="580" w:lineRule="exact"/>
        <w:ind w:firstLine="643" w:firstLineChars="200"/>
        <w:rPr>
          <w:rFonts w:ascii="仿宋_GB2312" w:hAnsi="Times New Roman" w:eastAsia="仿宋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本部门2019年度一般公共预算财政拨款收入</w:t>
      </w:r>
      <w:r>
        <w:rPr>
          <w:rFonts w:hint="eastAsia" w:ascii="仿宋_GB2312" w:eastAsia="仿宋_GB2312" w:cs="DengXian-Regular"/>
          <w:sz w:val="32"/>
          <w:szCs w:val="32"/>
          <w:lang w:val="en-US" w:eastAsia="zh-CN"/>
        </w:rPr>
        <w:t>583.91</w:t>
      </w:r>
      <w:r>
        <w:rPr>
          <w:rFonts w:hint="eastAsia" w:ascii="仿宋_GB2312" w:hAnsi="Times New Roman" w:eastAsia="仿宋_GB2312" w:cs="DengXian-Regular"/>
          <w:color w:val="000000" w:themeColor="text1"/>
          <w:sz w:val="32"/>
          <w:szCs w:val="32"/>
          <w14:textFill>
            <w14:solidFill>
              <w14:schemeClr w14:val="tx1"/>
            </w14:solidFill>
          </w14:textFill>
        </w:rPr>
        <w:t>万元，完成年初预算的</w:t>
      </w:r>
      <w:r>
        <w:rPr>
          <w:rFonts w:hint="eastAsia" w:ascii="仿宋_GB2312" w:eastAsia="仿宋_GB2312" w:cs="DengXian-Regular"/>
          <w:sz w:val="32"/>
          <w:szCs w:val="32"/>
          <w:lang w:val="en-US" w:eastAsia="zh-CN"/>
        </w:rPr>
        <w:t>100.55</w:t>
      </w:r>
      <w:r>
        <w:rPr>
          <w:rFonts w:hint="eastAsia" w:ascii="仿宋_GB2312" w:hAnsi="Times New Roman" w:eastAsia="仿宋_GB2312" w:cs="DengXian-Regular"/>
          <w:color w:val="000000" w:themeColor="text1"/>
          <w:sz w:val="32"/>
          <w:szCs w:val="32"/>
          <w14:textFill>
            <w14:solidFill>
              <w14:schemeClr w14:val="tx1"/>
            </w14:solidFill>
          </w14:textFill>
        </w:rPr>
        <w:t>%（如图</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w:t>
      </w:r>
      <w:r>
        <w:rPr>
          <w:rFonts w:hint="eastAsia" w:ascii="仿宋_GB2312" w:hAnsi="Times New Roman" w:eastAsia="仿宋_GB2312" w:cs="DengXian-Regular"/>
          <w:color w:val="000000" w:themeColor="text1"/>
          <w:sz w:val="32"/>
          <w:szCs w:val="32"/>
          <w14:textFill>
            <w14:solidFill>
              <w14:schemeClr w14:val="tx1"/>
            </w14:solidFill>
          </w14:textFill>
        </w:rPr>
        <w:t>）,比年初预算增加</w:t>
      </w:r>
      <w:r>
        <w:rPr>
          <w:rFonts w:hint="eastAsia" w:ascii="仿宋_GB2312" w:eastAsia="仿宋_GB2312" w:cs="DengXian-Regular"/>
          <w:sz w:val="32"/>
          <w:szCs w:val="32"/>
          <w:lang w:val="en-US" w:eastAsia="zh-CN"/>
        </w:rPr>
        <w:t>3.2</w:t>
      </w:r>
      <w:r>
        <w:rPr>
          <w:rFonts w:hint="eastAsia" w:ascii="仿宋_GB2312" w:hAnsi="Times New Roman" w:eastAsia="仿宋_GB2312" w:cs="DengXian-Regular"/>
          <w:color w:val="000000" w:themeColor="text1"/>
          <w:sz w:val="32"/>
          <w:szCs w:val="32"/>
          <w14:textFill>
            <w14:solidFill>
              <w14:schemeClr w14:val="tx1"/>
            </w14:solidFill>
          </w14:textFill>
        </w:rPr>
        <w:t>万元，决算数大于预算数主要原因是</w:t>
      </w:r>
      <w:r>
        <w:rPr>
          <w:rFonts w:hint="eastAsia" w:ascii="仿宋" w:hAnsi="仿宋" w:eastAsia="仿宋"/>
          <w:sz w:val="32"/>
          <w:szCs w:val="32"/>
          <w:lang w:val="en-US" w:eastAsia="zh-CN"/>
        </w:rPr>
        <w:t>人员经费有所增加</w:t>
      </w:r>
      <w:r>
        <w:rPr>
          <w:rFonts w:hint="eastAsia" w:ascii="仿宋_GB2312" w:hAnsi="Times New Roman" w:eastAsia="仿宋_GB2312" w:cs="DengXian-Regular"/>
          <w:color w:val="000000" w:themeColor="text1"/>
          <w:sz w:val="32"/>
          <w:szCs w:val="32"/>
          <w14:textFill>
            <w14:solidFill>
              <w14:schemeClr w14:val="tx1"/>
            </w14:solidFill>
          </w14:textFill>
        </w:rPr>
        <w:t>；本年支出</w:t>
      </w:r>
      <w:r>
        <w:rPr>
          <w:rFonts w:hint="eastAsia" w:ascii="仿宋_GB2312" w:eastAsia="仿宋_GB2312" w:cs="DengXian-Regular"/>
          <w:sz w:val="32"/>
          <w:szCs w:val="32"/>
          <w:lang w:val="en-US" w:eastAsia="zh-CN"/>
        </w:rPr>
        <w:t>584.59</w:t>
      </w:r>
      <w:r>
        <w:rPr>
          <w:rFonts w:hint="eastAsia" w:ascii="仿宋_GB2312" w:hAnsi="Times New Roman" w:eastAsia="仿宋_GB2312" w:cs="DengXian-Regular"/>
          <w:color w:val="000000" w:themeColor="text1"/>
          <w:sz w:val="32"/>
          <w:szCs w:val="32"/>
          <w14:textFill>
            <w14:solidFill>
              <w14:schemeClr w14:val="tx1"/>
            </w14:solidFill>
          </w14:textFill>
        </w:rPr>
        <w:t>万元，完成年初预算的</w:t>
      </w:r>
      <w:r>
        <w:rPr>
          <w:rFonts w:hint="eastAsia" w:ascii="仿宋_GB2312" w:eastAsia="仿宋_GB2312" w:cs="DengXian-Regular"/>
          <w:sz w:val="32"/>
          <w:szCs w:val="32"/>
          <w:lang w:val="en-US" w:eastAsia="zh-CN"/>
        </w:rPr>
        <w:t>100.67</w:t>
      </w:r>
      <w:r>
        <w:rPr>
          <w:rFonts w:hint="eastAsia" w:ascii="仿宋_GB2312" w:eastAsia="仿宋_GB2312" w:cs="DengXian-Regular"/>
          <w:sz w:val="32"/>
          <w:szCs w:val="32"/>
        </w:rPr>
        <w:t>%</w:t>
      </w:r>
      <w:r>
        <w:rPr>
          <w:rFonts w:hint="eastAsia" w:ascii="仿宋_GB2312" w:hAnsi="Times New Roman" w:eastAsia="仿宋_GB2312" w:cs="DengXian-Regular"/>
          <w:color w:val="000000" w:themeColor="text1"/>
          <w:sz w:val="32"/>
          <w:szCs w:val="32"/>
          <w14:textFill>
            <w14:solidFill>
              <w14:schemeClr w14:val="tx1"/>
            </w14:solidFill>
          </w14:textFill>
        </w:rPr>
        <w:t>%,比年初预算增加</w:t>
      </w:r>
      <w:r>
        <w:rPr>
          <w:rFonts w:hint="eastAsia" w:ascii="仿宋_GB2312" w:eastAsia="仿宋_GB2312" w:cs="DengXian-Regular"/>
          <w:sz w:val="32"/>
          <w:szCs w:val="32"/>
          <w:lang w:val="en-US" w:eastAsia="zh-CN"/>
        </w:rPr>
        <w:t>3.88</w:t>
      </w:r>
      <w:r>
        <w:rPr>
          <w:rFonts w:hint="eastAsia" w:ascii="仿宋_GB2312" w:hAnsi="Times New Roman" w:eastAsia="仿宋_GB2312" w:cs="DengXian-Regular"/>
          <w:color w:val="000000" w:themeColor="text1"/>
          <w:sz w:val="32"/>
          <w:szCs w:val="32"/>
          <w14:textFill>
            <w14:solidFill>
              <w14:schemeClr w14:val="tx1"/>
            </w14:solidFill>
          </w14:textFill>
        </w:rPr>
        <w:t>万元，决算数大于预算数主要原因是主要是</w:t>
      </w:r>
      <w:r>
        <w:rPr>
          <w:rFonts w:hint="eastAsia" w:ascii="仿宋" w:hAnsi="仿宋" w:eastAsia="仿宋"/>
          <w:sz w:val="32"/>
          <w:szCs w:val="32"/>
          <w:lang w:val="en-US" w:eastAsia="zh-CN"/>
        </w:rPr>
        <w:t>人员经费有所增加</w:t>
      </w:r>
      <w:r>
        <w:rPr>
          <w:rFonts w:hint="eastAsia" w:ascii="仿宋_GB2312" w:hAnsi="Times New Roman" w:eastAsia="仿宋_GB2312" w:cs="DengXian-Regular"/>
          <w:color w:val="000000" w:themeColor="text1"/>
          <w:sz w:val="32"/>
          <w:szCs w:val="32"/>
          <w14:textFill>
            <w14:solidFill>
              <w14:schemeClr w14:val="tx1"/>
            </w14:solidFill>
          </w14:textFill>
        </w:rPr>
        <w:t>。如图所示：</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w:t>
      </w:r>
      <w:r>
        <w:rPr>
          <w:rFonts w:hint="eastAsia" w:eastAsia="仿宋_GB2312"/>
          <w:sz w:val="32"/>
          <w:szCs w:val="32"/>
          <w:lang w:val="en-US" w:eastAsia="zh-CN"/>
        </w:rPr>
        <w:t>3</w:t>
      </w:r>
      <w:r>
        <w:rPr>
          <w:rFonts w:hint="eastAsia" w:eastAsia="仿宋_GB2312"/>
          <w:sz w:val="32"/>
          <w:szCs w:val="32"/>
        </w:rPr>
        <w:t>：财政拨款收支预决算对比情况</w:t>
      </w:r>
    </w:p>
    <w:p>
      <w:pPr>
        <w:adjustRightInd w:val="0"/>
        <w:snapToGrid w:val="0"/>
        <w:spacing w:line="580" w:lineRule="exact"/>
        <w:ind w:firstLine="420" w:firstLineChars="200"/>
        <w:rPr>
          <w:rFonts w:hint="eastAsia" w:ascii="仿宋_GB2312" w:hAnsi="Times New Roman" w:eastAsia="仿宋_GB2312" w:cs="DengXian-Regular"/>
          <w:color w:val="000000" w:themeColor="text1"/>
          <w:sz w:val="32"/>
          <w:szCs w:val="32"/>
          <w14:textFill>
            <w14:solidFill>
              <w14:schemeClr w14:val="tx1"/>
            </w14:solidFill>
          </w14:textFill>
        </w:rPr>
      </w:pPr>
      <w:r>
        <w:drawing>
          <wp:anchor distT="0" distB="0" distL="114300" distR="114300" simplePos="0" relativeHeight="437292032" behindDoc="1" locked="0" layoutInCell="1" allowOverlap="1">
            <wp:simplePos x="0" y="0"/>
            <wp:positionH relativeFrom="column">
              <wp:posOffset>608330</wp:posOffset>
            </wp:positionH>
            <wp:positionV relativeFrom="paragraph">
              <wp:posOffset>218440</wp:posOffset>
            </wp:positionV>
            <wp:extent cx="4596130" cy="2767330"/>
            <wp:effectExtent l="0" t="0" r="13970" b="13970"/>
            <wp:wrapTight wrapText="bothSides">
              <wp:wrapPolygon>
                <wp:start x="0" y="0"/>
                <wp:lineTo x="0" y="21412"/>
                <wp:lineTo x="21487" y="21412"/>
                <wp:lineTo x="21487" y="0"/>
                <wp:lineTo x="0" y="0"/>
              </wp:wrapPolygon>
            </wp:wrapTight>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pic:cNvPicPr>
                      <a:picLocks noChangeAspect="1"/>
                    </pic:cNvPicPr>
                  </pic:nvPicPr>
                  <pic:blipFill>
                    <a:blip r:embed="rId30"/>
                    <a:stretch>
                      <a:fillRect/>
                    </a:stretch>
                  </pic:blipFill>
                  <pic:spPr>
                    <a:xfrm>
                      <a:off x="0" y="0"/>
                      <a:ext cx="4596130" cy="2767330"/>
                    </a:xfrm>
                    <a:prstGeom prst="rect">
                      <a:avLst/>
                    </a:prstGeom>
                    <a:noFill/>
                    <a:ln>
                      <a:noFill/>
                    </a:ln>
                  </pic:spPr>
                </pic:pic>
              </a:graphicData>
            </a:graphic>
          </wp:anchor>
        </w:drawing>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rPr>
          <w:rFonts w:hint="eastAsia" w:ascii="仿宋_GB2312" w:hAnsi="Times New Roman" w:eastAsia="仿宋_GB2312" w:cs="DengXian-Regular"/>
          <w:color w:val="000000" w:themeColor="text1"/>
          <w:sz w:val="32"/>
          <w:szCs w:val="32"/>
          <w14:textFill>
            <w14:solidFill>
              <w14:schemeClr w14:val="tx1"/>
            </w14:solidFill>
          </w14:textFill>
        </w:rPr>
      </w:pPr>
    </w:p>
    <w:p>
      <w:pPr>
        <w:numPr>
          <w:ilvl w:val="0"/>
          <w:numId w:val="1"/>
        </w:num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财政拨款支出决算结构情况。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2019 年度财政拨款支出</w:t>
      </w:r>
      <w:r>
        <w:rPr>
          <w:rFonts w:hint="eastAsia" w:ascii="仿宋_GB2312" w:eastAsia="仿宋_GB2312" w:cs="DengXian-Regular"/>
          <w:sz w:val="32"/>
          <w:szCs w:val="32"/>
          <w:lang w:val="en-US" w:eastAsia="zh-CN"/>
        </w:rPr>
        <w:t>584.59</w:t>
      </w:r>
      <w:r>
        <w:rPr>
          <w:rFonts w:hint="eastAsia" w:ascii="仿宋_GB2312" w:hAnsi="Times New Roman" w:eastAsia="仿宋_GB2312" w:cs="DengXian-Regular"/>
          <w:color w:val="000000" w:themeColor="text1"/>
          <w:sz w:val="32"/>
          <w:szCs w:val="32"/>
          <w14:textFill>
            <w14:solidFill>
              <w14:schemeClr w14:val="tx1"/>
            </w14:solidFill>
          </w14:textFill>
        </w:rPr>
        <w:t>万元，主要用于以下方面</w:t>
      </w:r>
      <w:r>
        <w:rPr>
          <w:rFonts w:hint="eastAsia" w:ascii="仿宋_GB2312" w:eastAsia="仿宋_GB2312" w:cs="DengXian-Regular"/>
          <w:sz w:val="32"/>
          <w:szCs w:val="32"/>
        </w:rPr>
        <w:t>一般公共服务（类）支出498.81万元，占</w:t>
      </w:r>
      <w:r>
        <w:rPr>
          <w:rFonts w:hint="eastAsia" w:ascii="仿宋_GB2312" w:eastAsia="仿宋_GB2312" w:cs="DengXian-Regular"/>
          <w:sz w:val="32"/>
          <w:szCs w:val="32"/>
          <w:lang w:val="en-US" w:eastAsia="zh-CN"/>
        </w:rPr>
        <w:t>85.33</w:t>
      </w:r>
      <w:r>
        <w:rPr>
          <w:rFonts w:hint="eastAsia" w:ascii="仿宋_GB2312" w:eastAsia="仿宋_GB2312" w:cs="DengXian-Regular"/>
          <w:sz w:val="32"/>
          <w:szCs w:val="32"/>
        </w:rPr>
        <w:t>%；社会保障和就业（类）支出41.09万元，占</w:t>
      </w:r>
      <w:r>
        <w:rPr>
          <w:rFonts w:hint="eastAsia" w:ascii="仿宋_GB2312" w:eastAsia="仿宋_GB2312" w:cs="DengXian-Regular"/>
          <w:sz w:val="32"/>
          <w:szCs w:val="32"/>
          <w:lang w:val="en-US" w:eastAsia="zh-CN"/>
        </w:rPr>
        <w:t>7.03</w:t>
      </w:r>
      <w:r>
        <w:rPr>
          <w:rFonts w:hint="eastAsia" w:ascii="仿宋_GB2312" w:eastAsia="仿宋_GB2312" w:cs="DengXian-Regular"/>
          <w:sz w:val="32"/>
          <w:szCs w:val="32"/>
        </w:rPr>
        <w:t>%；卫生健康支出16.77</w:t>
      </w:r>
      <w:r>
        <w:rPr>
          <w:rFonts w:hint="eastAsia" w:ascii="仿宋_GB2312" w:eastAsia="仿宋_GB2312" w:cs="DengXian-Regular"/>
          <w:sz w:val="32"/>
          <w:szCs w:val="32"/>
          <w:lang w:eastAsia="zh-CN"/>
        </w:rPr>
        <w:t>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2.87</w:t>
      </w:r>
      <w:r>
        <w:rPr>
          <w:rFonts w:hint="eastAsia" w:ascii="仿宋_GB2312" w:eastAsia="仿宋_GB2312" w:cs="DengXian-Regular"/>
          <w:sz w:val="32"/>
          <w:szCs w:val="32"/>
        </w:rPr>
        <w:t>%；住房保障（类）支出27.92万元，占</w:t>
      </w:r>
      <w:r>
        <w:rPr>
          <w:rFonts w:hint="eastAsia" w:ascii="仿宋_GB2312" w:eastAsia="仿宋_GB2312" w:cs="DengXian-Regular"/>
          <w:sz w:val="32"/>
          <w:szCs w:val="32"/>
          <w:lang w:val="en-US" w:eastAsia="zh-CN"/>
        </w:rPr>
        <w:t>4.77</w:t>
      </w:r>
      <w:r>
        <w:rPr>
          <w:rFonts w:hint="eastAsia" w:ascii="仿宋_GB2312" w:eastAsia="仿宋_GB2312" w:cs="DengXian-Regular"/>
          <w:sz w:val="32"/>
          <w:szCs w:val="32"/>
        </w:rPr>
        <w:t>%</w:t>
      </w:r>
      <w:r>
        <w:rPr>
          <w:rFonts w:hint="eastAsia" w:ascii="仿宋_GB2312" w:hAnsi="Times New Roman" w:eastAsia="仿宋_GB2312" w:cs="DengXian-Regular"/>
          <w:color w:val="000000" w:themeColor="text1"/>
          <w:sz w:val="32"/>
          <w:szCs w:val="32"/>
          <w14:textFill>
            <w14:solidFill>
              <w14:schemeClr w14:val="tx1"/>
            </w14:solidFill>
          </w14:textFill>
        </w:rPr>
        <w:t>。如图所示：</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hint="eastAsia" w:eastAsia="仿宋_GB2312"/>
          <w:sz w:val="32"/>
          <w:szCs w:val="32"/>
          <w:lang w:val="en-US" w:eastAsia="zh-CN"/>
        </w:rPr>
        <w:t>4</w:t>
      </w:r>
      <w:r>
        <w:rPr>
          <w:rFonts w:hint="eastAsia" w:eastAsia="仿宋_GB2312"/>
          <w:sz w:val="32"/>
          <w:szCs w:val="32"/>
        </w:rPr>
        <w:t>：财政拨款支出决算结构（按功能分类）</w:t>
      </w: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r>
        <w:drawing>
          <wp:anchor distT="0" distB="0" distL="114300" distR="114300" simplePos="0" relativeHeight="437297152" behindDoc="1" locked="0" layoutInCell="1" allowOverlap="1">
            <wp:simplePos x="0" y="0"/>
            <wp:positionH relativeFrom="column">
              <wp:posOffset>484505</wp:posOffset>
            </wp:positionH>
            <wp:positionV relativeFrom="paragraph">
              <wp:posOffset>225425</wp:posOffset>
            </wp:positionV>
            <wp:extent cx="4596130" cy="2767330"/>
            <wp:effectExtent l="0" t="0" r="13970" b="13970"/>
            <wp:wrapTight wrapText="bothSides">
              <wp:wrapPolygon>
                <wp:start x="0" y="0"/>
                <wp:lineTo x="0" y="21412"/>
                <wp:lineTo x="21487" y="21412"/>
                <wp:lineTo x="21487" y="0"/>
                <wp:lineTo x="0" y="0"/>
              </wp:wrapPolygon>
            </wp:wrapTight>
            <wp:docPr id="3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
                    <pic:cNvPicPr>
                      <a:picLocks noChangeAspect="1"/>
                    </pic:cNvPicPr>
                  </pic:nvPicPr>
                  <pic:blipFill>
                    <a:blip r:embed="rId31"/>
                    <a:stretch>
                      <a:fillRect/>
                    </a:stretch>
                  </pic:blipFill>
                  <pic:spPr>
                    <a:xfrm>
                      <a:off x="0" y="0"/>
                      <a:ext cx="4596130" cy="2767330"/>
                    </a:xfrm>
                    <a:prstGeom prst="rect">
                      <a:avLst/>
                    </a:prstGeom>
                    <a:noFill/>
                    <a:ln>
                      <a:noFill/>
                    </a:ln>
                  </pic:spPr>
                </pic:pic>
              </a:graphicData>
            </a:graphic>
          </wp:anchor>
        </w:drawing>
      </w: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2019年度财政拨款基本支出</w:t>
      </w:r>
      <w:r>
        <w:rPr>
          <w:rFonts w:hint="eastAsia" w:ascii="仿宋_GB2312" w:eastAsia="仿宋_GB2312" w:cs="DengXian-Regular"/>
          <w:sz w:val="32"/>
          <w:szCs w:val="32"/>
        </w:rPr>
        <w:t>544.60</w:t>
      </w:r>
      <w:r>
        <w:rPr>
          <w:rFonts w:hint="eastAsia" w:ascii="仿宋_GB2312" w:hAnsi="Times New Roman" w:eastAsia="仿宋_GB2312" w:cs="DengXian-Regular"/>
          <w:color w:val="000000" w:themeColor="text1"/>
          <w:sz w:val="32"/>
          <w:szCs w:val="32"/>
          <w14:textFill>
            <w14:solidFill>
              <w14:schemeClr w14:val="tx1"/>
            </w14:solidFill>
          </w14:textFill>
        </w:rPr>
        <w:t xml:space="preserve">万元，其中：人员经费 </w:t>
      </w:r>
      <w:r>
        <w:rPr>
          <w:rFonts w:hint="eastAsia" w:ascii="仿宋_GB2312" w:eastAsia="仿宋_GB2312" w:cs="DengXian-Regular"/>
          <w:sz w:val="32"/>
          <w:szCs w:val="32"/>
        </w:rPr>
        <w:t>485.67</w:t>
      </w:r>
      <w:r>
        <w:rPr>
          <w:rFonts w:hint="eastAsia" w:ascii="仿宋_GB2312" w:hAnsi="Times New Roman" w:eastAsia="仿宋_GB2312" w:cs="DengXian-Regular"/>
          <w:color w:val="000000" w:themeColor="text1"/>
          <w:sz w:val="32"/>
          <w:szCs w:val="32"/>
          <w14:textFill>
            <w14:solidFill>
              <w14:schemeClr w14:val="tx1"/>
            </w14:solidFill>
          </w14:textFill>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eastAsia="仿宋_GB2312" w:cs="DengXian-Regular"/>
          <w:sz w:val="32"/>
          <w:szCs w:val="32"/>
          <w:lang w:val="en-US" w:eastAsia="zh-CN"/>
        </w:rPr>
        <w:t>58.93</w:t>
      </w:r>
      <w:r>
        <w:rPr>
          <w:rFonts w:hint="eastAsia" w:ascii="仿宋_GB2312" w:hAnsi="Times New Roman" w:eastAsia="仿宋_GB2312" w:cs="DengXian-Regular"/>
          <w:color w:val="000000" w:themeColor="text1"/>
          <w:sz w:val="32"/>
          <w:szCs w:val="32"/>
          <w14:textFill>
            <w14:solidFill>
              <w14:schemeClr w14:val="tx1"/>
            </w14:solidFill>
          </w14:textFill>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本部门2019年度“三公”经费支出共计</w:t>
      </w:r>
      <w:r>
        <w:rPr>
          <w:rFonts w:hint="eastAsia" w:ascii="仿宋_GB2312" w:hAnsi="仿宋_GB2312" w:eastAsia="仿宋_GB2312" w:cs="仿宋_GB2312"/>
          <w:sz w:val="32"/>
          <w:szCs w:val="32"/>
          <w:lang w:val="en-US" w:eastAsia="zh-CN"/>
        </w:rPr>
        <w:t>2.78</w:t>
      </w:r>
      <w:r>
        <w:rPr>
          <w:rFonts w:hint="eastAsia" w:ascii="仿宋_GB2312" w:hAnsi="Times New Roman" w:eastAsia="仿宋_GB2312" w:cs="DengXian-Regular"/>
          <w:color w:val="000000" w:themeColor="text1"/>
          <w:sz w:val="32"/>
          <w:szCs w:val="32"/>
          <w14:textFill>
            <w14:solidFill>
              <w14:schemeClr w14:val="tx1"/>
            </w14:solidFill>
          </w14:textFill>
        </w:rPr>
        <w:t>万元，完成预算的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78.09</w:t>
      </w:r>
      <w:r>
        <w:rPr>
          <w:rFonts w:hint="eastAsia" w:ascii="仿宋_GB2312" w:hAnsi="Times New Roman" w:eastAsia="仿宋_GB2312" w:cs="DengXian-Regular"/>
          <w:color w:val="000000" w:themeColor="text1"/>
          <w:sz w:val="32"/>
          <w:szCs w:val="32"/>
          <w14:textFill>
            <w14:solidFill>
              <w14:schemeClr w14:val="tx1"/>
            </w14:solidFill>
          </w14:textFill>
        </w:rPr>
        <w:t>%,较预算减少</w:t>
      </w:r>
      <w:r>
        <w:rPr>
          <w:rFonts w:hint="eastAsia" w:ascii="仿宋_GB2312" w:hAnsi="仿宋_GB2312" w:eastAsia="仿宋_GB2312" w:cs="仿宋_GB2312"/>
          <w:sz w:val="32"/>
          <w:szCs w:val="32"/>
          <w:lang w:val="en-US" w:eastAsia="zh-CN"/>
        </w:rPr>
        <w:t>0.78</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ascii="仿宋_GB2312" w:hAnsi="仿宋_GB2312" w:eastAsia="仿宋_GB2312" w:cs="仿宋_GB2312"/>
          <w:sz w:val="32"/>
          <w:szCs w:val="32"/>
          <w:lang w:val="en-US" w:eastAsia="zh-CN"/>
        </w:rPr>
        <w:t>21.91</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_GB2312" w:eastAsia="仿宋_GB2312" w:cs="DengXian-Regular"/>
          <w:sz w:val="32"/>
          <w:szCs w:val="32"/>
        </w:rPr>
        <w:t>厉行节约，压缩经费</w:t>
      </w:r>
      <w:r>
        <w:rPr>
          <w:rFonts w:hint="eastAsia" w:ascii="仿宋_GB2312" w:hAnsi="Times New Roman" w:eastAsia="仿宋_GB2312" w:cs="DengXian-Regular"/>
          <w:color w:val="000000" w:themeColor="text1"/>
          <w:sz w:val="32"/>
          <w:szCs w:val="32"/>
          <w14:textFill>
            <w14:solidFill>
              <w14:schemeClr w14:val="tx1"/>
            </w14:solidFill>
          </w14:textFill>
        </w:rPr>
        <w:t>；较2018年度减少</w:t>
      </w:r>
      <w:r>
        <w:rPr>
          <w:rFonts w:hint="eastAsia" w:ascii="仿宋_GB2312" w:hAnsi="仿宋_GB2312" w:eastAsia="仿宋_GB2312" w:cs="仿宋_GB2312"/>
          <w:sz w:val="32"/>
          <w:szCs w:val="32"/>
          <w:lang w:val="en-US" w:eastAsia="zh-CN"/>
        </w:rPr>
        <w:t>1.11</w:t>
      </w:r>
      <w:r>
        <w:rPr>
          <w:rFonts w:hint="eastAsia" w:ascii="仿宋_GB2312" w:hAnsi="Times New Roman" w:eastAsia="仿宋_GB2312" w:cs="DengXian-Regular"/>
          <w:color w:val="000000" w:themeColor="text1"/>
          <w:sz w:val="32"/>
          <w:szCs w:val="32"/>
          <w14:textFill>
            <w14:solidFill>
              <w14:schemeClr w14:val="tx1"/>
            </w14:solidFill>
          </w14:textFill>
        </w:rPr>
        <w:t>万元，</w:t>
      </w:r>
      <w:r>
        <w:rPr>
          <w:rFonts w:eastAsia="仿宋_GB2312"/>
          <w:sz w:val="32"/>
          <w:szCs w:val="32"/>
        </w:rPr>
        <w:t>降低</w:t>
      </w:r>
      <w:r>
        <w:rPr>
          <w:rFonts w:hint="eastAsia" w:ascii="仿宋_GB2312" w:hAnsi="仿宋_GB2312" w:eastAsia="仿宋_GB2312" w:cs="仿宋_GB2312"/>
          <w:sz w:val="32"/>
          <w:szCs w:val="32"/>
          <w:lang w:val="en-US" w:eastAsia="zh-CN"/>
        </w:rPr>
        <w:t>28.53</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_GB2312" w:eastAsia="仿宋_GB2312" w:cs="DengXian-Regular"/>
          <w:sz w:val="32"/>
          <w:szCs w:val="32"/>
        </w:rPr>
        <w:t>厉行节约，压缩经费</w:t>
      </w:r>
      <w:r>
        <w:rPr>
          <w:rFonts w:hint="eastAsia" w:ascii="仿宋_GB2312" w:hAnsi="Times New Roman" w:eastAsia="仿宋_GB2312" w:cs="DengXian-Regular"/>
          <w:color w:val="000000" w:themeColor="text1"/>
          <w:sz w:val="32"/>
          <w:szCs w:val="32"/>
          <w14:textFill>
            <w14:solidFill>
              <w14:schemeClr w14:val="tx1"/>
            </w14:solidFill>
          </w14:textFill>
        </w:rPr>
        <w:t>。具体情况如下：</w:t>
      </w:r>
    </w:p>
    <w:p>
      <w:pPr>
        <w:numPr>
          <w:ilvl w:val="0"/>
          <w:numId w:val="0"/>
        </w:numPr>
        <w:adjustRightInd w:val="0"/>
        <w:snapToGrid w:val="0"/>
        <w:spacing w:line="584" w:lineRule="exact"/>
        <w:ind w:firstLine="643" w:firstLineChars="200"/>
        <w:rPr>
          <w:rFonts w:eastAsia="仿宋_GB2312"/>
          <w:sz w:val="32"/>
          <w:szCs w:val="32"/>
          <w:highlight w:val="yellow"/>
        </w:rPr>
      </w:pPr>
      <w:r>
        <w:rPr>
          <w:rFonts w:hint="eastAsia" w:ascii="楷体_GB2312" w:hAnsi="Times New Roman" w:eastAsia="楷体_GB2312" w:cs="DengXian-Bold"/>
          <w:b/>
          <w:bCs/>
          <w:color w:val="000000" w:themeColor="text1"/>
          <w:sz w:val="32"/>
          <w:szCs w:val="32"/>
          <w14:textFill>
            <w14:solidFill>
              <w14:schemeClr w14:val="tx1"/>
            </w14:solidFill>
          </w14:textFill>
        </w:rPr>
        <w:t>（一）因公出国（境）费支出</w:t>
      </w:r>
      <w:r>
        <w:rPr>
          <w:rFonts w:hint="eastAsia" w:ascii="楷体_GB2312" w:hAnsi="Times New Roman" w:eastAsia="楷体_GB2312" w:cs="DengXian-Bold"/>
          <w:b/>
          <w:bCs/>
          <w:color w:val="000000" w:themeColor="text1"/>
          <w:sz w:val="32"/>
          <w:szCs w:val="32"/>
          <w:lang w:val="en-US" w:eastAsia="zh-CN"/>
          <w14:textFill>
            <w14:solidFill>
              <w14:schemeClr w14:val="tx1"/>
            </w14:solidFill>
          </w14:textFill>
        </w:rPr>
        <w:t>0</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本部门2019年度因公出国（境）团组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个、共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人/参加其他单位组织的因公出国（境）团组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个、共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人/无本单位组织的出国（境）团组。</w:t>
      </w:r>
      <w:r>
        <w:rPr>
          <w:rFonts w:eastAsia="仿宋_GB2312"/>
          <w:sz w:val="32"/>
          <w:szCs w:val="32"/>
        </w:rPr>
        <w:t>本部门</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eastAsia="仿宋_GB2312"/>
          <w:sz w:val="32"/>
          <w:szCs w:val="32"/>
        </w:rPr>
        <w:t>年</w:t>
      </w:r>
      <w:r>
        <w:rPr>
          <w:rFonts w:eastAsia="仿宋_GB2312"/>
          <w:sz w:val="32"/>
          <w:szCs w:val="32"/>
          <w:highlight w:val="none"/>
        </w:rPr>
        <w:t>度</w:t>
      </w:r>
      <w:r>
        <w:rPr>
          <w:rFonts w:eastAsia="仿宋_GB2312"/>
          <w:color w:val="000000"/>
          <w:sz w:val="32"/>
          <w:szCs w:val="32"/>
          <w:highlight w:val="none"/>
        </w:rPr>
        <w:t>未发生</w:t>
      </w:r>
      <w:r>
        <w:rPr>
          <w:rFonts w:eastAsia="仿宋_GB2312"/>
          <w:sz w:val="32"/>
          <w:szCs w:val="32"/>
          <w:highlight w:val="none"/>
        </w:rPr>
        <w:t>因公出国（境）费支出</w:t>
      </w:r>
      <w:r>
        <w:rPr>
          <w:rFonts w:hint="eastAsia" w:eastAsia="仿宋_GB2312"/>
          <w:sz w:val="32"/>
          <w:szCs w:val="32"/>
          <w:highlight w:val="none"/>
          <w:lang w:eastAsia="zh-CN"/>
        </w:rPr>
        <w:t>，较年初预算无增减变化，较</w:t>
      </w:r>
      <w:r>
        <w:rPr>
          <w:rFonts w:hint="eastAsia" w:ascii="仿宋_GB2312" w:hAnsi="仿宋_GB2312" w:eastAsia="仿宋_GB2312" w:cs="仿宋_GB2312"/>
          <w:sz w:val="32"/>
          <w:szCs w:val="32"/>
          <w:highlight w:val="none"/>
          <w:lang w:val="en-US" w:eastAsia="zh-CN"/>
        </w:rPr>
        <w:t>2018</w:t>
      </w:r>
      <w:r>
        <w:rPr>
          <w:rFonts w:hint="eastAsia" w:eastAsia="仿宋_GB2312"/>
          <w:sz w:val="32"/>
          <w:szCs w:val="32"/>
          <w:highlight w:val="none"/>
          <w:lang w:val="en-US" w:eastAsia="zh-CN"/>
        </w:rPr>
        <w:t>年度决算无增减变化。</w:t>
      </w:r>
    </w:p>
    <w:p>
      <w:pPr>
        <w:adjustRightInd w:val="0"/>
        <w:snapToGrid w:val="0"/>
        <w:spacing w:line="580" w:lineRule="exact"/>
        <w:ind w:firstLine="643" w:firstLineChars="200"/>
        <w:rPr>
          <w:rFonts w:ascii="仿宋_GB2312" w:hAnsi="Times New Roman" w:eastAsia="仿宋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（二）公务用车购置及运行维护费支出</w:t>
      </w:r>
      <w:r>
        <w:rPr>
          <w:rFonts w:hint="eastAsia" w:ascii="仿宋_GB2312" w:hAnsi="仿宋_GB2312" w:eastAsia="仿宋_GB2312" w:cs="仿宋_GB2312"/>
          <w:b/>
          <w:bCs/>
          <w:sz w:val="32"/>
          <w:szCs w:val="32"/>
          <w:lang w:val="en-US" w:eastAsia="zh-CN"/>
        </w:rPr>
        <w:t>2.09</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本部门2019年度公务用车购置及运行维护费较预</w:t>
      </w:r>
      <w:r>
        <w:rPr>
          <w:rFonts w:hint="eastAsia" w:ascii="仿宋_GB2312" w:hAnsi="仿宋_GB2312" w:eastAsia="仿宋_GB2312" w:cs="仿宋_GB2312"/>
          <w:color w:val="000000" w:themeColor="text1"/>
          <w:sz w:val="32"/>
          <w:szCs w:val="32"/>
          <w14:textFill>
            <w14:solidFill>
              <w14:schemeClr w14:val="tx1"/>
            </w14:solidFill>
          </w14:textFill>
        </w:rPr>
        <w:t>算减少</w:t>
      </w:r>
      <w:r>
        <w:rPr>
          <w:rFonts w:hint="eastAsia" w:ascii="仿宋_GB2312" w:hAnsi="仿宋_GB2312" w:eastAsia="仿宋_GB2312" w:cs="仿宋_GB2312"/>
          <w:sz w:val="32"/>
          <w:szCs w:val="32"/>
          <w:lang w:val="en-US" w:eastAsia="zh-CN"/>
        </w:rPr>
        <w:t>0.71</w:t>
      </w:r>
      <w:r>
        <w:rPr>
          <w:rFonts w:hint="eastAsia" w:ascii="仿宋_GB2312" w:hAnsi="仿宋_GB2312" w:eastAsia="仿宋_GB2312" w:cs="仿宋_GB2312"/>
          <w:color w:val="000000" w:themeColor="text1"/>
          <w:sz w:val="32"/>
          <w:szCs w:val="32"/>
          <w14:textFill>
            <w14:solidFill>
              <w14:schemeClr w14:val="tx1"/>
            </w14:solidFill>
          </w14:textFill>
        </w:rPr>
        <w:t>万元，降低</w:t>
      </w:r>
      <w:r>
        <w:rPr>
          <w:rFonts w:hint="eastAsia" w:ascii="仿宋_GB2312" w:hAnsi="仿宋_GB2312" w:eastAsia="仿宋_GB2312" w:cs="仿宋_GB2312"/>
          <w:sz w:val="32"/>
          <w:szCs w:val="32"/>
          <w:lang w:val="en-US" w:eastAsia="zh-CN"/>
        </w:rPr>
        <w:t>25.36</w:t>
      </w:r>
      <w:r>
        <w:rPr>
          <w:rFonts w:hint="eastAsia" w:ascii="仿宋_GB2312" w:hAnsi="仿宋_GB2312" w:eastAsia="仿宋_GB2312" w:cs="仿宋_GB2312"/>
          <w:color w:val="000000" w:themeColor="text1"/>
          <w:sz w:val="32"/>
          <w:szCs w:val="32"/>
          <w14:textFill>
            <w14:solidFill>
              <w14:schemeClr w14:val="tx1"/>
            </w14:solidFill>
          </w14:textFill>
        </w:rPr>
        <w:t>%,主要是</w:t>
      </w:r>
      <w:r>
        <w:rPr>
          <w:rFonts w:hint="eastAsia" w:ascii="仿宋_GB2312" w:hAnsi="仿宋_GB2312" w:eastAsia="仿宋_GB2312" w:cs="仿宋_GB2312"/>
          <w:sz w:val="32"/>
          <w:szCs w:val="32"/>
        </w:rPr>
        <w:t>厉行节约，压缩经费</w:t>
      </w:r>
      <w:r>
        <w:rPr>
          <w:rFonts w:hint="eastAsia" w:ascii="仿宋_GB2312" w:hAnsi="仿宋_GB2312" w:eastAsia="仿宋_GB2312" w:cs="仿宋_GB2312"/>
          <w:color w:val="000000" w:themeColor="text1"/>
          <w:sz w:val="32"/>
          <w:szCs w:val="32"/>
          <w14:textFill>
            <w14:solidFill>
              <w14:schemeClr w14:val="tx1"/>
            </w14:solidFill>
          </w14:textFill>
        </w:rPr>
        <w:t>；较上年减少</w:t>
      </w:r>
      <w:r>
        <w:rPr>
          <w:rFonts w:hint="eastAsia" w:ascii="仿宋_GB2312" w:hAnsi="仿宋_GB2312" w:eastAsia="仿宋_GB2312" w:cs="仿宋_GB2312"/>
          <w:sz w:val="32"/>
          <w:szCs w:val="32"/>
          <w:lang w:val="en-US" w:eastAsia="zh-CN"/>
        </w:rPr>
        <w:t>1.28</w:t>
      </w:r>
      <w:r>
        <w:rPr>
          <w:rFonts w:hint="eastAsia" w:ascii="仿宋_GB2312" w:hAnsi="仿宋_GB2312" w:eastAsia="仿宋_GB2312" w:cs="仿宋_GB2312"/>
          <w:color w:val="000000" w:themeColor="text1"/>
          <w:sz w:val="32"/>
          <w:szCs w:val="32"/>
          <w14:textFill>
            <w14:solidFill>
              <w14:schemeClr w14:val="tx1"/>
            </w14:solidFill>
          </w14:textFill>
        </w:rPr>
        <w:t>万元，降低</w:t>
      </w:r>
      <w:r>
        <w:rPr>
          <w:rFonts w:hint="eastAsia" w:ascii="仿宋_GB2312" w:hAnsi="仿宋_GB2312" w:eastAsia="仿宋_GB2312" w:cs="仿宋_GB2312"/>
          <w:sz w:val="32"/>
          <w:szCs w:val="32"/>
          <w:lang w:val="en-US" w:eastAsia="zh-CN"/>
        </w:rPr>
        <w:t>37.98</w:t>
      </w:r>
      <w:r>
        <w:rPr>
          <w:rFonts w:hint="eastAsia" w:ascii="仿宋_GB2312" w:hAnsi="仿宋_GB2312" w:eastAsia="仿宋_GB2312" w:cs="仿宋_GB2312"/>
          <w:color w:val="000000" w:themeColor="text1"/>
          <w:sz w:val="32"/>
          <w:szCs w:val="32"/>
          <w14:textFill>
            <w14:solidFill>
              <w14:schemeClr w14:val="tx1"/>
            </w14:solidFill>
          </w14:textFill>
        </w:rPr>
        <w:t>%,主要是</w:t>
      </w:r>
      <w:r>
        <w:rPr>
          <w:rFonts w:hint="eastAsia" w:ascii="仿宋_GB2312" w:hAnsi="仿宋_GB2312" w:eastAsia="仿宋_GB2312" w:cs="仿宋_GB2312"/>
          <w:sz w:val="32"/>
          <w:szCs w:val="32"/>
        </w:rPr>
        <w:t>厉行节约，压缩经费</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其中：</w:t>
      </w:r>
    </w:p>
    <w:p>
      <w:pPr>
        <w:numPr>
          <w:ilvl w:val="0"/>
          <w:numId w:val="0"/>
        </w:numPr>
        <w:adjustRightInd w:val="0"/>
        <w:snapToGrid w:val="0"/>
        <w:spacing w:line="584" w:lineRule="exact"/>
        <w:ind w:firstLine="643" w:firstLineChars="200"/>
        <w:rPr>
          <w:rFonts w:hint="eastAsia" w:eastAsia="仿宋_GB2312"/>
          <w:sz w:val="32"/>
          <w:szCs w:val="32"/>
          <w:lang w:val="en-US" w:eastAsia="zh-CN"/>
        </w:rPr>
      </w:pPr>
      <w:r>
        <w:rPr>
          <w:rFonts w:hint="eastAsia" w:ascii="仿宋_GB2312" w:hAnsi="Times New Roman" w:eastAsia="仿宋_GB2312" w:cs="DengXian-Regular"/>
          <w:b/>
          <w:color w:val="000000" w:themeColor="text1"/>
          <w:sz w:val="32"/>
          <w:szCs w:val="32"/>
          <w14:textFill>
            <w14:solidFill>
              <w14:schemeClr w14:val="tx1"/>
            </w14:solidFill>
          </w14:textFill>
        </w:rPr>
        <w:t>公务用车购置费：</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本部门2019年度公务用车购置量</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w:t>
      </w:r>
      <w:r>
        <w:rPr>
          <w:rFonts w:eastAsia="仿宋_GB2312"/>
          <w:sz w:val="32"/>
          <w:szCs w:val="32"/>
          <w:highlight w:val="none"/>
        </w:rPr>
        <w:t>本部门</w:t>
      </w: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年度</w:t>
      </w:r>
      <w:r>
        <w:rPr>
          <w:rFonts w:hint="eastAsia" w:ascii="仿宋_GB2312" w:hAnsi="仿宋_GB2312" w:eastAsia="仿宋_GB2312" w:cs="仿宋_GB2312"/>
          <w:color w:val="000000"/>
          <w:sz w:val="32"/>
          <w:szCs w:val="32"/>
          <w:highlight w:val="none"/>
        </w:rPr>
        <w:t>未发生公务用车购置经费支出</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sz w:val="32"/>
          <w:szCs w:val="32"/>
          <w:highlight w:val="none"/>
          <w:lang w:eastAsia="zh-CN"/>
        </w:rPr>
        <w:t>较年初预算无增减变化，较</w:t>
      </w:r>
      <w:r>
        <w:rPr>
          <w:rFonts w:hint="eastAsia" w:ascii="仿宋_GB2312" w:hAnsi="仿宋_GB2312" w:eastAsia="仿宋_GB2312" w:cs="仿宋_GB2312"/>
          <w:sz w:val="32"/>
          <w:szCs w:val="32"/>
          <w:highlight w:val="none"/>
          <w:lang w:val="en-US" w:eastAsia="zh-CN"/>
        </w:rPr>
        <w:t>2018</w:t>
      </w:r>
      <w:r>
        <w:rPr>
          <w:rFonts w:hint="eastAsia" w:eastAsia="仿宋_GB2312"/>
          <w:sz w:val="32"/>
          <w:szCs w:val="32"/>
          <w:highlight w:val="none"/>
          <w:lang w:val="en-US" w:eastAsia="zh-CN"/>
        </w:rPr>
        <w:t>年度决</w:t>
      </w:r>
      <w:r>
        <w:rPr>
          <w:rFonts w:hint="eastAsia" w:eastAsia="仿宋_GB2312"/>
          <w:sz w:val="32"/>
          <w:szCs w:val="32"/>
          <w:lang w:val="en-US" w:eastAsia="zh-CN"/>
        </w:rPr>
        <w:t>算无增减变化。</w:t>
      </w:r>
    </w:p>
    <w:p>
      <w:pPr>
        <w:adjustRightInd w:val="0"/>
        <w:snapToGrid w:val="0"/>
        <w:spacing w:line="58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DengXian-Regular"/>
          <w:b/>
          <w:color w:val="000000" w:themeColor="text1"/>
          <w:sz w:val="32"/>
          <w:szCs w:val="32"/>
          <w14:textFill>
            <w14:solidFill>
              <w14:schemeClr w14:val="tx1"/>
            </w14:solidFill>
          </w14:textFill>
        </w:rPr>
        <w:t>公务用车运行维护费：</w:t>
      </w:r>
      <w:r>
        <w:rPr>
          <w:rFonts w:hint="eastAsia" w:ascii="仿宋_GB2312" w:hAnsi="Times New Roman" w:eastAsia="仿宋_GB2312" w:cs="DengXian-Regular"/>
          <w:color w:val="000000" w:themeColor="text1"/>
          <w:sz w:val="32"/>
          <w:szCs w:val="32"/>
          <w14:textFill>
            <w14:solidFill>
              <w14:schemeClr w14:val="tx1"/>
            </w14:solidFill>
          </w14:textFill>
        </w:rPr>
        <w:t>本部门2019年度单位公务用车保有量</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w:t>
      </w:r>
      <w:r>
        <w:rPr>
          <w:rFonts w:hint="eastAsia" w:ascii="仿宋_GB2312" w:hAnsi="Times New Roman" w:eastAsia="仿宋_GB2312" w:cs="DengXian-Regular"/>
          <w:color w:val="000000" w:themeColor="text1"/>
          <w:sz w:val="32"/>
          <w:szCs w:val="32"/>
          <w14:textFill>
            <w14:solidFill>
              <w14:schemeClr w14:val="tx1"/>
            </w14:solidFill>
          </w14:textFill>
        </w:rPr>
        <w:t>辆。公车运行维护费支出较预</w:t>
      </w:r>
      <w:r>
        <w:rPr>
          <w:rFonts w:hint="eastAsia" w:ascii="仿宋_GB2312" w:hAnsi="仿宋_GB2312" w:eastAsia="仿宋_GB2312" w:cs="仿宋_GB2312"/>
          <w:color w:val="000000" w:themeColor="text1"/>
          <w:sz w:val="32"/>
          <w:szCs w:val="32"/>
          <w14:textFill>
            <w14:solidFill>
              <w14:schemeClr w14:val="tx1"/>
            </w14:solidFill>
          </w14:textFill>
        </w:rPr>
        <w:t>算</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0.71</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sz w:val="32"/>
          <w:szCs w:val="32"/>
        </w:rPr>
        <w:t>降低</w:t>
      </w:r>
      <w:r>
        <w:rPr>
          <w:rFonts w:hint="eastAsia" w:ascii="仿宋_GB2312" w:hAnsi="仿宋_GB2312" w:eastAsia="仿宋_GB2312" w:cs="仿宋_GB2312"/>
          <w:sz w:val="32"/>
          <w:szCs w:val="32"/>
          <w:lang w:val="en-US" w:eastAsia="zh-CN"/>
        </w:rPr>
        <w:t>25.36</w:t>
      </w:r>
      <w:r>
        <w:rPr>
          <w:rFonts w:hint="eastAsia" w:ascii="仿宋_GB2312" w:hAnsi="仿宋_GB2312" w:eastAsia="仿宋_GB2312" w:cs="仿宋_GB2312"/>
          <w:color w:val="000000" w:themeColor="text1"/>
          <w:sz w:val="32"/>
          <w:szCs w:val="32"/>
          <w14:textFill>
            <w14:solidFill>
              <w14:schemeClr w14:val="tx1"/>
            </w14:solidFill>
          </w14:textFill>
        </w:rPr>
        <w:t>%,主要是</w:t>
      </w:r>
      <w:r>
        <w:rPr>
          <w:rFonts w:hint="eastAsia" w:ascii="仿宋_GB2312" w:hAnsi="仿宋_GB2312" w:eastAsia="仿宋_GB2312" w:cs="仿宋_GB2312"/>
          <w:sz w:val="32"/>
          <w:szCs w:val="32"/>
        </w:rPr>
        <w:t>厉行节约，压缩经费</w:t>
      </w:r>
      <w:r>
        <w:rPr>
          <w:rFonts w:hint="eastAsia" w:ascii="仿宋_GB2312" w:hAnsi="仿宋_GB2312" w:eastAsia="仿宋_GB2312" w:cs="仿宋_GB2312"/>
          <w:color w:val="000000" w:themeColor="text1"/>
          <w:sz w:val="32"/>
          <w:szCs w:val="32"/>
          <w14:textFill>
            <w14:solidFill>
              <w14:schemeClr w14:val="tx1"/>
            </w14:solidFill>
          </w14:textFill>
        </w:rPr>
        <w:t>；较上年</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1.28</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sz w:val="32"/>
          <w:szCs w:val="32"/>
        </w:rPr>
        <w:t>降低</w:t>
      </w:r>
      <w:r>
        <w:rPr>
          <w:rFonts w:hint="eastAsia" w:ascii="仿宋_GB2312" w:hAnsi="仿宋_GB2312" w:eastAsia="仿宋_GB2312" w:cs="仿宋_GB2312"/>
          <w:sz w:val="32"/>
          <w:szCs w:val="32"/>
          <w:lang w:val="en-US" w:eastAsia="zh-CN"/>
        </w:rPr>
        <w:t>37.98</w:t>
      </w:r>
      <w:r>
        <w:rPr>
          <w:rFonts w:hint="eastAsia" w:ascii="仿宋_GB2312" w:hAnsi="仿宋_GB2312" w:eastAsia="仿宋_GB2312" w:cs="仿宋_GB2312"/>
          <w:color w:val="000000" w:themeColor="text1"/>
          <w:sz w:val="32"/>
          <w:szCs w:val="32"/>
          <w14:textFill>
            <w14:solidFill>
              <w14:schemeClr w14:val="tx1"/>
            </w14:solidFill>
          </w14:textFill>
        </w:rPr>
        <w:t>%，主要是</w:t>
      </w:r>
      <w:r>
        <w:rPr>
          <w:rFonts w:hint="eastAsia" w:ascii="仿宋_GB2312" w:hAnsi="仿宋_GB2312" w:eastAsia="仿宋_GB2312" w:cs="仿宋_GB2312"/>
          <w:sz w:val="32"/>
          <w:szCs w:val="32"/>
        </w:rPr>
        <w:t>厉行节约，压缩经费</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84" w:lineRule="exact"/>
        <w:ind w:firstLine="643" w:firstLineChars="200"/>
        <w:rPr>
          <w:rFonts w:hint="eastAsia" w:ascii="仿宋_GB2312" w:hAnsi="仿宋_GB2312" w:eastAsia="仿宋_GB2312" w:cs="仿宋_GB2312"/>
          <w:sz w:val="32"/>
          <w:szCs w:val="32"/>
          <w:highlight w:val="yellow"/>
        </w:rPr>
      </w:pPr>
      <w:r>
        <w:rPr>
          <w:rFonts w:hint="eastAsia" w:ascii="楷体_GB2312" w:hAnsi="Times New Roman" w:eastAsia="楷体_GB2312" w:cs="DengXian-Bold"/>
          <w:b/>
          <w:bCs/>
          <w:color w:val="000000" w:themeColor="text1"/>
          <w:sz w:val="32"/>
          <w:szCs w:val="32"/>
          <w14:textFill>
            <w14:solidFill>
              <w14:schemeClr w14:val="tx1"/>
            </w14:solidFill>
          </w14:textFill>
        </w:rPr>
        <w:t>（三）公务接待费支出</w:t>
      </w:r>
      <w:r>
        <w:rPr>
          <w:rFonts w:hint="eastAsia" w:ascii="仿宋_GB2312" w:hAnsi="仿宋_GB2312" w:eastAsia="仿宋_GB2312" w:cs="仿宋_GB2312"/>
          <w:b/>
          <w:bCs/>
          <w:sz w:val="32"/>
          <w:szCs w:val="32"/>
          <w:lang w:val="en-US" w:eastAsia="zh-CN"/>
        </w:rPr>
        <w:t>0.69</w:t>
      </w:r>
      <w:r>
        <w:rPr>
          <w:rFonts w:hint="eastAsia" w:ascii="仿宋_GB2312" w:hAnsi="仿宋_GB2312" w:eastAsia="仿宋_GB2312" w:cs="仿宋_GB2312"/>
          <w:b/>
          <w:bCs/>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本部门2019年度公务接待共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69</w:t>
      </w:r>
      <w:r>
        <w:rPr>
          <w:rFonts w:hint="eastAsia" w:ascii="仿宋_GB2312" w:hAnsi="仿宋_GB2312" w:eastAsia="仿宋_GB2312" w:cs="仿宋_GB2312"/>
          <w:color w:val="000000" w:themeColor="text1"/>
          <w:sz w:val="32"/>
          <w:szCs w:val="32"/>
          <w14:textFill>
            <w14:solidFill>
              <w14:schemeClr w14:val="tx1"/>
            </w14:solidFill>
          </w14:textFill>
        </w:rPr>
        <w:t>人次。公务接待费支出较预算</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0.07</w:t>
      </w:r>
      <w:r>
        <w:rPr>
          <w:rFonts w:hint="eastAsia" w:ascii="仿宋_GB2312" w:hAnsi="仿宋_GB2312" w:eastAsia="仿宋_GB2312" w:cs="仿宋_GB2312"/>
          <w:color w:val="000000" w:themeColor="text1"/>
          <w:sz w:val="32"/>
          <w:szCs w:val="32"/>
          <w14:textFill>
            <w14:solidFill>
              <w14:schemeClr w14:val="tx1"/>
            </w14:solidFill>
          </w14:textFill>
        </w:rPr>
        <w:t>万元，降低</w:t>
      </w:r>
      <w:r>
        <w:rPr>
          <w:rFonts w:hint="eastAsia" w:ascii="仿宋_GB2312" w:hAnsi="仿宋_GB2312" w:eastAsia="仿宋_GB2312" w:cs="仿宋_GB2312"/>
          <w:sz w:val="32"/>
          <w:szCs w:val="32"/>
          <w:lang w:val="en-US" w:eastAsia="zh-CN"/>
        </w:rPr>
        <w:t>9.21</w:t>
      </w:r>
      <w:r>
        <w:rPr>
          <w:rFonts w:hint="eastAsia" w:ascii="仿宋_GB2312" w:hAnsi="仿宋_GB2312" w:eastAsia="仿宋_GB2312" w:cs="仿宋_GB2312"/>
          <w:color w:val="000000" w:themeColor="text1"/>
          <w:sz w:val="32"/>
          <w:szCs w:val="32"/>
          <w14:textFill>
            <w14:solidFill>
              <w14:schemeClr w14:val="tx1"/>
            </w14:solidFill>
          </w14:textFill>
        </w:rPr>
        <w:t>%,主要是</w:t>
      </w:r>
      <w:r>
        <w:rPr>
          <w:rFonts w:hint="eastAsia" w:ascii="仿宋_GB2312" w:hAnsi="仿宋_GB2312" w:eastAsia="仿宋_GB2312" w:cs="仿宋_GB2312"/>
          <w:i w:val="0"/>
          <w:caps w:val="0"/>
          <w:color w:val="auto"/>
          <w:spacing w:val="0"/>
          <w:sz w:val="33"/>
          <w:szCs w:val="33"/>
          <w:shd w:val="clear" w:fill="FFFFFF"/>
        </w:rPr>
        <w:t>加强了对公务接待的管理，严格控制公务接待范围和开支标准，减少接待费支出</w:t>
      </w:r>
      <w:r>
        <w:rPr>
          <w:rFonts w:hint="eastAsia" w:ascii="仿宋_GB2312" w:hAnsi="仿宋_GB2312" w:eastAsia="仿宋_GB2312" w:cs="仿宋_GB2312"/>
          <w:color w:val="000000" w:themeColor="text1"/>
          <w:sz w:val="32"/>
          <w:szCs w:val="32"/>
          <w14:textFill>
            <w14:solidFill>
              <w14:schemeClr w14:val="tx1"/>
            </w14:solidFill>
          </w14:textFill>
        </w:rPr>
        <w:t>；较上年度</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0.17</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32.69</w:t>
      </w:r>
      <w:r>
        <w:rPr>
          <w:rFonts w:hint="eastAsia" w:ascii="仿宋_GB2312" w:hAnsi="仿宋_GB2312" w:eastAsia="仿宋_GB2312" w:cs="仿宋_GB2312"/>
          <w:color w:val="000000" w:themeColor="text1"/>
          <w:sz w:val="32"/>
          <w:szCs w:val="32"/>
          <w14:textFill>
            <w14:solidFill>
              <w14:schemeClr w14:val="tx1"/>
            </w14:solidFill>
          </w14:textFill>
        </w:rPr>
        <w:t>%,主要是</w:t>
      </w:r>
      <w:r>
        <w:rPr>
          <w:rFonts w:hint="eastAsia" w:ascii="仿宋_GB2312" w:hAnsi="仿宋_GB2312" w:eastAsia="仿宋_GB2312" w:cs="仿宋_GB2312"/>
          <w:sz w:val="32"/>
          <w:szCs w:val="32"/>
          <w:lang w:val="en-US" w:eastAsia="zh-CN"/>
        </w:rPr>
        <w:t>上级督导、检查工作较上年有所增加</w:t>
      </w:r>
      <w:r>
        <w:rPr>
          <w:rFonts w:hint="eastAsia" w:ascii="仿宋_GB2312" w:hAnsi="仿宋_GB2312" w:eastAsia="仿宋_GB2312" w:cs="仿宋_GB2312"/>
          <w:sz w:val="32"/>
          <w:szCs w:val="32"/>
          <w:lang w:eastAsia="zh-CN"/>
        </w:rPr>
        <w:t>。</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六、其他重要事项的说明</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highlight w:val="none"/>
          <w14:textFill>
            <w14:solidFill>
              <w14:schemeClr w14:val="tx1"/>
            </w14:solidFill>
          </w14:textFill>
        </w:rPr>
      </w:pPr>
      <w:r>
        <w:rPr>
          <w:rFonts w:hint="eastAsia" w:ascii="楷体_GB2312" w:hAnsi="Times New Roman" w:eastAsia="楷体_GB2312" w:cs="DengXian-Bold"/>
          <w:b/>
          <w:bCs/>
          <w:color w:val="000000" w:themeColor="text1"/>
          <w:sz w:val="32"/>
          <w:szCs w:val="32"/>
          <w:highlight w:val="none"/>
          <w14:textFill>
            <w14:solidFill>
              <w14:schemeClr w14:val="tx1"/>
            </w14:solidFill>
          </w14:textFill>
        </w:rPr>
        <w:t>（一）机关运行经费情况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本部门2019年度机关运行经费支出</w:t>
      </w:r>
      <w:r>
        <w:rPr>
          <w:rFonts w:hint="eastAsia" w:ascii="仿宋_GB2312" w:eastAsia="仿宋_GB2312" w:cs="DengXian-Regular"/>
          <w:sz w:val="32"/>
          <w:szCs w:val="32"/>
          <w:lang w:val="en-US" w:eastAsia="zh-CN"/>
        </w:rPr>
        <w:t>58.93</w:t>
      </w:r>
      <w:r>
        <w:rPr>
          <w:rFonts w:hint="eastAsia" w:ascii="仿宋_GB2312" w:hAnsi="Times New Roman" w:eastAsia="仿宋_GB2312" w:cs="DengXian-Regular"/>
          <w:color w:val="000000" w:themeColor="text1"/>
          <w:sz w:val="32"/>
          <w:szCs w:val="32"/>
          <w14:textFill>
            <w14:solidFill>
              <w14:schemeClr w14:val="tx1"/>
            </w14:solidFill>
          </w14:textFill>
        </w:rPr>
        <w:t>万元，</w:t>
      </w:r>
      <w:r>
        <w:rPr>
          <w:rFonts w:hint="eastAsia" w:ascii="仿宋_GB2312" w:eastAsia="仿宋_GB2312" w:cs="DengXian-Regular"/>
          <w:sz w:val="32"/>
          <w:szCs w:val="32"/>
        </w:rPr>
        <w:t>比年初预算数增加</w:t>
      </w:r>
      <w:r>
        <w:rPr>
          <w:rFonts w:hint="eastAsia" w:ascii="仿宋_GB2312" w:eastAsia="仿宋_GB2312" w:cs="DengXian-Regular"/>
          <w:sz w:val="32"/>
          <w:szCs w:val="32"/>
          <w:lang w:val="en-US" w:eastAsia="zh-CN"/>
        </w:rPr>
        <w:t>0.81</w:t>
      </w:r>
      <w:r>
        <w:rPr>
          <w:rFonts w:hint="eastAsia" w:ascii="仿宋_GB2312" w:eastAsia="仿宋_GB2312" w:cs="DengXian-Regular"/>
          <w:sz w:val="32"/>
          <w:szCs w:val="32"/>
        </w:rPr>
        <w:t>万</w:t>
      </w:r>
      <w:r>
        <w:rPr>
          <w:rFonts w:hint="eastAsia" w:ascii="仿宋_GB2312" w:hAnsi="仿宋_GB2312" w:eastAsia="仿宋_GB2312" w:cs="仿宋_GB2312"/>
          <w:sz w:val="32"/>
          <w:szCs w:val="32"/>
        </w:rPr>
        <w:t>元，增长</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 xml:space="preserve"> %。主要是</w:t>
      </w:r>
      <w:r>
        <w:rPr>
          <w:rFonts w:hint="eastAsia" w:ascii="仿宋_GB2312" w:hAnsi="仿宋_GB2312" w:eastAsia="仿宋_GB2312" w:cs="仿宋_GB2312"/>
          <w:sz w:val="32"/>
          <w:szCs w:val="32"/>
          <w:lang w:eastAsia="zh-CN"/>
        </w:rPr>
        <w:t>在预算后有新调入人员，交通补贴和通讯补贴较预算数有所增加</w:t>
      </w:r>
      <w:r>
        <w:rPr>
          <w:rFonts w:hint="eastAsia" w:ascii="仿宋_GB2312" w:hAnsi="仿宋_GB2312" w:eastAsia="仿宋_GB2312" w:cs="仿宋_GB2312"/>
          <w:sz w:val="32"/>
          <w:szCs w:val="32"/>
        </w:rPr>
        <w:t>。较</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rPr>
        <w:t>年度决算减少</w:t>
      </w:r>
      <w:r>
        <w:rPr>
          <w:rFonts w:hint="eastAsia" w:ascii="仿宋_GB2312" w:hAnsi="仿宋_GB2312" w:eastAsia="仿宋_GB2312" w:cs="仿宋_GB2312"/>
          <w:sz w:val="32"/>
          <w:szCs w:val="32"/>
          <w:lang w:val="en-US" w:eastAsia="zh-CN"/>
        </w:rPr>
        <w:t>7.16</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10.83</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本年较上</w:t>
      </w:r>
      <w:r>
        <w:rPr>
          <w:rFonts w:hint="eastAsia" w:eastAsia="仿宋_GB2312"/>
          <w:sz w:val="32"/>
          <w:szCs w:val="32"/>
          <w:lang w:eastAsia="zh-CN"/>
        </w:rPr>
        <w:t>年人数减少</w:t>
      </w:r>
      <w:r>
        <w:rPr>
          <w:rFonts w:eastAsia="仿宋_GB2312"/>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（二）政府采购情况</w:t>
      </w:r>
    </w:p>
    <w:p>
      <w:pPr>
        <w:keepNext/>
        <w:keepLines/>
        <w:snapToGrid w:val="0"/>
        <w:spacing w:line="580" w:lineRule="exact"/>
        <w:ind w:firstLine="640" w:firstLineChars="200"/>
        <w:outlineLvl w:val="2"/>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本部门2019年度政府采购支出总额</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万元，从采购类型来看，</w:t>
      </w:r>
      <w:r>
        <w:rPr>
          <w:rFonts w:ascii="仿宋_GB2312" w:hAnsi="仿宋_GB2312" w:eastAsia="仿宋_GB2312" w:cs="仿宋_GB2312"/>
          <w:color w:val="000000" w:themeColor="text1"/>
          <w:kern w:val="0"/>
          <w:sz w:val="32"/>
          <w:szCs w:val="32"/>
          <w:lang w:bidi="ar"/>
          <w14:textFill>
            <w14:solidFill>
              <w14:schemeClr w14:val="tx1"/>
            </w14:solidFill>
          </w14:textFill>
        </w:rPr>
        <w:t>政府采购货物支出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万元、政府采购工程支出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万元、政府采购服务支出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万元。授予中小企业合同金</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万元，占政府采购支出总额的</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ascii="仿宋_GB2312" w:hAnsi="仿宋_GB2312" w:eastAsia="仿宋_GB2312" w:cs="仿宋_GB2312"/>
          <w:color w:val="000000" w:themeColor="text1"/>
          <w:kern w:val="0"/>
          <w:sz w:val="32"/>
          <w:szCs w:val="32"/>
          <w:lang w:bidi="ar"/>
          <w14:textFill>
            <w14:solidFill>
              <w14:schemeClr w14:val="tx1"/>
            </w14:solidFill>
          </w14:textFill>
        </w:rPr>
        <w:t>其中授予小微企业合同金额</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万元，占政府采购支出总额的</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bookmarkStart w:id="0" w:name="_GoBack"/>
      <w:bookmarkEnd w:id="0"/>
      <w:r>
        <w:rPr>
          <w:rFonts w:ascii="仿宋_GB2312" w:hAnsi="仿宋_GB2312" w:eastAsia="仿宋_GB2312" w:cs="仿宋_GB2312"/>
          <w:color w:val="000000" w:themeColor="text1"/>
          <w:kern w:val="0"/>
          <w:sz w:val="32"/>
          <w:szCs w:val="32"/>
          <w:lang w:bidi="ar"/>
          <w14:textFill>
            <w14:solidFill>
              <w14:schemeClr w14:val="tx1"/>
            </w14:solidFill>
          </w14:textFill>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（三）国有资产占用情况</w:t>
      </w:r>
    </w:p>
    <w:p>
      <w:pPr>
        <w:numPr>
          <w:ilvl w:val="0"/>
          <w:numId w:val="0"/>
        </w:numPr>
        <w:adjustRightInd w:val="0"/>
        <w:snapToGrid w:val="0"/>
        <w:spacing w:line="584" w:lineRule="exact"/>
        <w:ind w:firstLine="640"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截至2019年12月31日，本部门共有车辆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辆，</w:t>
      </w:r>
      <w:r>
        <w:rPr>
          <w:rFonts w:hint="eastAsia" w:ascii="仿宋_GB2312" w:hAnsi="仿宋_GB2312" w:eastAsia="仿宋_GB2312" w:cs="仿宋_GB2312"/>
          <w:sz w:val="32"/>
          <w:szCs w:val="32"/>
          <w:highlight w:val="none"/>
          <w:lang w:eastAsia="zh-CN"/>
        </w:rPr>
        <w:t>较</w:t>
      </w:r>
      <w:r>
        <w:rPr>
          <w:rFonts w:hint="eastAsia" w:ascii="仿宋_GB2312" w:hAnsi="仿宋_GB2312" w:eastAsia="仿宋_GB2312" w:cs="仿宋_GB2312"/>
          <w:sz w:val="32"/>
          <w:szCs w:val="32"/>
          <w:highlight w:val="none"/>
          <w:lang w:val="en-US" w:eastAsia="zh-CN"/>
        </w:rPr>
        <w:t>2018年度决</w:t>
      </w:r>
      <w:r>
        <w:rPr>
          <w:rFonts w:hint="eastAsia" w:ascii="仿宋_GB2312" w:hAnsi="仿宋_GB2312" w:eastAsia="仿宋_GB2312" w:cs="仿宋_GB2312"/>
          <w:sz w:val="32"/>
          <w:szCs w:val="32"/>
          <w:lang w:val="en-US" w:eastAsia="zh-CN"/>
        </w:rPr>
        <w:t>算无增减变化，</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机要通信用车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highlight w:val="none"/>
          <w:lang w:eastAsia="zh-CN"/>
        </w:rPr>
        <w:t>较</w:t>
      </w:r>
      <w:r>
        <w:rPr>
          <w:rFonts w:hint="eastAsia" w:ascii="仿宋_GB2312" w:hAnsi="仿宋_GB2312" w:eastAsia="仿宋_GB2312" w:cs="仿宋_GB2312"/>
          <w:sz w:val="32"/>
          <w:szCs w:val="32"/>
          <w:highlight w:val="none"/>
          <w:lang w:val="en-US" w:eastAsia="zh-CN"/>
        </w:rPr>
        <w:t>2018年度决</w:t>
      </w:r>
      <w:r>
        <w:rPr>
          <w:rFonts w:hint="eastAsia" w:ascii="仿宋_GB2312" w:hAnsi="仿宋_GB2312" w:eastAsia="仿宋_GB2312" w:cs="仿宋_GB2312"/>
          <w:sz w:val="32"/>
          <w:szCs w:val="32"/>
          <w:lang w:val="en-US" w:eastAsia="zh-CN"/>
        </w:rPr>
        <w:t>算无增减变化；</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较</w:t>
      </w:r>
      <w:r>
        <w:rPr>
          <w:rFonts w:hint="eastAsia" w:ascii="仿宋_GB2312" w:hAnsi="仿宋_GB2312" w:eastAsia="仿宋_GB2312" w:cs="仿宋_GB2312"/>
          <w:sz w:val="32"/>
          <w:szCs w:val="32"/>
          <w:highlight w:val="none"/>
          <w:lang w:val="en-US" w:eastAsia="zh-CN"/>
        </w:rPr>
        <w:t>2018年度</w:t>
      </w:r>
      <w:r>
        <w:rPr>
          <w:rFonts w:hint="eastAsia" w:eastAsia="仿宋_GB2312"/>
          <w:sz w:val="32"/>
          <w:szCs w:val="32"/>
          <w:highlight w:val="none"/>
          <w:lang w:val="en-US" w:eastAsia="zh-CN"/>
        </w:rPr>
        <w:t>决</w:t>
      </w:r>
      <w:r>
        <w:rPr>
          <w:rFonts w:hint="eastAsia" w:eastAsia="仿宋_GB2312"/>
          <w:sz w:val="32"/>
          <w:szCs w:val="32"/>
          <w:lang w:val="en-US" w:eastAsia="zh-CN"/>
        </w:rPr>
        <w:t>算无增减变化</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（四）其他需要说明的情况</w:t>
      </w:r>
    </w:p>
    <w:p>
      <w:pPr>
        <w:tabs>
          <w:tab w:val="left" w:pos="11490"/>
        </w:tabs>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1.</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w:t>
      </w:r>
      <w:r>
        <w:rPr>
          <w:rFonts w:hint="eastAsia" w:ascii="仿宋_GB2312" w:hAnsi="仿宋_GB2312" w:eastAsia="仿宋_GB2312" w:cs="仿宋_GB2312"/>
          <w:b w:val="0"/>
          <w:bCs/>
          <w:sz w:val="32"/>
          <w:szCs w:val="32"/>
          <w:lang w:val="en-US" w:eastAsia="zh-CN"/>
        </w:rPr>
        <w:t>政府性基金预算财政拨款和国有资本经营预算财政拨款无收支及结转结余情况，故政府性基金预算财政拨款收入支出决算表和国有资本经营预算财政拨款支出决算表以空表列示。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color w:val="000000" w:themeColor="text1"/>
          <w:kern w:val="0"/>
          <w:sz w:val="44"/>
          <w:szCs w:val="44"/>
          <w14:textFill>
            <w14:solidFill>
              <w14:schemeClr w14:val="tx1"/>
            </w14:solidFill>
          </w14:textFill>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color w:val="000000" w:themeColor="text1"/>
          <w:sz w:val="56"/>
          <w:szCs w:val="72"/>
          <w14:textFill>
            <w14:solidFill>
              <w14:schemeClr w14:val="tx1"/>
            </w14:solidFill>
          </w14:textFill>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color w:val="000000" w:themeColor="text1"/>
          <w:sz w:val="56"/>
          <w:szCs w:val="72"/>
          <w14:textFill>
            <w14:solidFill>
              <w14:schemeClr w14:val="tx1"/>
            </w14:solidFill>
          </w14:textFill>
        </w:rPr>
        <w:br w:type="page"/>
      </w: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7"/>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19"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（一）财政拨款收入：</w:t>
      </w:r>
      <w:r>
        <w:rPr>
          <w:rFonts w:hint="eastAsia" w:ascii="仿宋_GB2312" w:hAnsi="宋体" w:eastAsia="仿宋_GB2312" w:cs="Times New Roman"/>
          <w:color w:val="000000" w:themeColor="text1"/>
          <w:kern w:val="0"/>
          <w:sz w:val="32"/>
          <w:szCs w:val="32"/>
          <w14:textFill>
            <w14:solidFill>
              <w14:schemeClr w14:val="tx1"/>
            </w14:solidFill>
          </w14:textFill>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（二）事业收入：</w:t>
      </w:r>
      <w:r>
        <w:rPr>
          <w:rFonts w:hint="eastAsia" w:ascii="仿宋_GB2312" w:hAnsi="宋体" w:eastAsia="仿宋_GB2312" w:cs="Times New Roman"/>
          <w:color w:val="000000" w:themeColor="text1"/>
          <w:kern w:val="0"/>
          <w:sz w:val="32"/>
          <w:szCs w:val="32"/>
          <w14:textFill>
            <w14:solidFill>
              <w14:schemeClr w14:val="tx1"/>
            </w14:solidFill>
          </w14:textFill>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（三）其他收入：</w:t>
      </w:r>
      <w:r>
        <w:rPr>
          <w:rFonts w:hint="eastAsia" w:ascii="仿宋_GB2312" w:hAnsi="宋体" w:eastAsia="仿宋_GB2312" w:cs="Times New Roman"/>
          <w:color w:val="000000" w:themeColor="text1"/>
          <w:kern w:val="0"/>
          <w:sz w:val="32"/>
          <w:szCs w:val="32"/>
          <w14:textFill>
            <w14:solidFill>
              <w14:schemeClr w14:val="tx1"/>
            </w14:solidFill>
          </w14:textFill>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（四）用事业基金弥补收支差额：</w:t>
      </w:r>
      <w:r>
        <w:rPr>
          <w:rFonts w:hint="eastAsia" w:ascii="仿宋_GB2312" w:hAnsi="宋体" w:eastAsia="仿宋_GB2312" w:cs="Times New Roman"/>
          <w:color w:val="000000" w:themeColor="text1"/>
          <w:kern w:val="0"/>
          <w:sz w:val="32"/>
          <w:szCs w:val="32"/>
          <w14:textFill>
            <w14:solidFill>
              <w14:schemeClr w14:val="tx1"/>
            </w14:solidFill>
          </w14:textFill>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（五）年初结转和结余：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（六）结余分配：</w:t>
      </w:r>
      <w:r>
        <w:rPr>
          <w:rFonts w:hint="eastAsia" w:ascii="仿宋_GB2312" w:hAnsi="宋体" w:eastAsia="仿宋_GB2312" w:cs="Times New Roman"/>
          <w:color w:val="000000" w:themeColor="text1"/>
          <w:kern w:val="0"/>
          <w:sz w:val="32"/>
          <w:szCs w:val="32"/>
          <w14:textFill>
            <w14:solidFill>
              <w14:schemeClr w14:val="tx1"/>
            </w14:solidFill>
          </w14:textFill>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（七）年末结转和结余：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（八）基本支出：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（九）项目支出：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（十）基本建设支出：</w:t>
      </w:r>
      <w:r>
        <w:rPr>
          <w:rFonts w:hint="eastAsia" w:ascii="仿宋_GB2312" w:hAnsi="宋体" w:eastAsia="仿宋_GB2312" w:cs="Times New Roman"/>
          <w:color w:val="000000" w:themeColor="text1"/>
          <w:kern w:val="0"/>
          <w:sz w:val="32"/>
          <w:szCs w:val="32"/>
          <w14:textFill>
            <w14:solidFill>
              <w14:schemeClr w14:val="tx1"/>
            </w14:solidFill>
          </w14:textFill>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（十一）其他资本性支出：</w:t>
      </w:r>
      <w:r>
        <w:rPr>
          <w:rFonts w:hint="eastAsia" w:ascii="仿宋_GB2312" w:hAnsi="宋体" w:eastAsia="仿宋_GB2312" w:cs="Times New Roman"/>
          <w:color w:val="000000" w:themeColor="text1"/>
          <w:kern w:val="0"/>
          <w:sz w:val="32"/>
          <w:szCs w:val="32"/>
          <w14:textFill>
            <w14:solidFill>
              <w14:schemeClr w14:val="tx1"/>
            </w14:solidFill>
          </w14:textFill>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（十二）“三公”经费：</w:t>
      </w:r>
      <w:r>
        <w:rPr>
          <w:rFonts w:hint="eastAsia" w:ascii="仿宋_GB2312" w:hAnsi="宋体" w:eastAsia="仿宋_GB2312" w:cs="Times New Roman"/>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（十三）其他交通费用：</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（十四）公务用车购置：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（十五）其他交通工具购置：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（十六）机关运行经费：</w:t>
      </w:r>
      <w:r>
        <w:rPr>
          <w:rFonts w:hint="eastAsia" w:ascii="仿宋_GB2312" w:hAnsi="宋体" w:eastAsia="仿宋_GB2312" w:cs="Times New Roman"/>
          <w:color w:val="000000" w:themeColor="text1"/>
          <w:kern w:val="0"/>
          <w:sz w:val="32"/>
          <w:szCs w:val="32"/>
          <w14:textFill>
            <w14:solidFill>
              <w14:schemeClr w14:val="tx1"/>
            </w14:solidFill>
          </w14:textFill>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（十七）经费形式:</w:t>
      </w:r>
      <w:r>
        <w:rPr>
          <w:rFonts w:hint="eastAsia" w:ascii="仿宋_GB2312" w:hAnsi="宋体" w:eastAsia="仿宋_GB2312" w:cs="Times New Roman"/>
          <w:color w:val="000000" w:themeColor="text1"/>
          <w:kern w:val="0"/>
          <w:sz w:val="32"/>
          <w:szCs w:val="32"/>
          <w14:textFill>
            <w14:solidFill>
              <w14:schemeClr w14:val="tx1"/>
            </w14:solidFill>
          </w14:textFill>
        </w:rPr>
        <w:t>按照经费来源，</w:t>
      </w:r>
      <w:r>
        <w:rPr>
          <w:rFonts w:hint="eastAsia" w:ascii="仿宋_GB2312" w:hAnsi="Cambria" w:eastAsia="仿宋_GB2312" w:cs="ArialUnicodeMS"/>
          <w:color w:val="000000" w:themeColor="text1"/>
          <w:kern w:val="0"/>
          <w:sz w:val="32"/>
          <w:szCs w:val="32"/>
          <w14:textFill>
            <w14:solidFill>
              <w14:schemeClr w14:val="tx1"/>
            </w14:solidFill>
          </w14:textFill>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0" w:type="default"/>
          <w:pgSz w:w="11906" w:h="16838"/>
          <w:pgMar w:top="2098" w:right="1474" w:bottom="1985" w:left="1588" w:header="851" w:footer="992" w:gutter="0"/>
          <w:pgNumType w:fmt="numberInDash"/>
          <w:cols w:space="425" w:num="1"/>
          <w:docGrid w:type="lines" w:linePitch="312" w:charSpace="0"/>
        </w:sectPr>
      </w:pPr>
    </w:p>
    <w:p>
      <w:pPr>
        <w:tabs>
          <w:tab w:val="left" w:pos="235"/>
        </w:tabs>
        <w:jc w:val="left"/>
        <w:rPr>
          <w:color w:val="000000" w:themeColor="text1"/>
          <w14:textFill>
            <w14:solidFill>
              <w14:schemeClr w14:val="tx1"/>
            </w14:solidFill>
          </w14:textFill>
        </w:rPr>
        <w:sectPr>
          <w:headerReference r:id="rId21" w:type="default"/>
          <w:pgSz w:w="11906" w:h="16838"/>
          <w:pgMar w:top="2098" w:right="1474" w:bottom="1985" w:left="1588" w:header="851" w:footer="992" w:gutter="0"/>
          <w:pgNumType w:fmt="numberInDash"/>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7"/>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tbl>
      <w:tblPr>
        <w:tblStyle w:val="8"/>
        <w:tblW w:w="93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567"/>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583.91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eastAsia="zh-CN"/>
              </w:rPr>
            </w:pPr>
            <w:r>
              <w:rPr>
                <w:rFonts w:hint="eastAsia" w:ascii="宋体" w:hAnsi="宋体" w:cs="宋体"/>
                <w:color w:val="000000"/>
                <w:sz w:val="18"/>
                <w:szCs w:val="18"/>
              </w:rPr>
              <w:t>502.0</w:t>
            </w:r>
            <w:r>
              <w:rPr>
                <w:rFonts w:hint="eastAsia" w:ascii="宋体" w:hAnsi="宋体" w:cs="宋体"/>
                <w:color w:val="000000"/>
                <w:sz w:val="18"/>
                <w:szCs w:val="1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41.09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583.91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587.79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lang w:eastAsia="zh-CN"/>
              </w:rPr>
            </w:pPr>
            <w:r>
              <w:rPr>
                <w:rFonts w:hint="eastAsia" w:ascii="宋体" w:hAnsi="宋体" w:cs="宋体"/>
                <w:color w:val="000000"/>
                <w:sz w:val="18"/>
                <w:szCs w:val="18"/>
              </w:rPr>
              <w:t>5.3</w:t>
            </w:r>
            <w:r>
              <w:rPr>
                <w:rFonts w:hint="eastAsia" w:ascii="宋体" w:hAnsi="宋体" w:cs="宋体"/>
                <w:color w:val="000000"/>
                <w:sz w:val="18"/>
                <w:szCs w:val="18"/>
                <w:lang w:val="en-US" w:eastAsia="zh-CN"/>
              </w:rPr>
              <w:t>4</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1.4</w:t>
            </w:r>
            <w:r>
              <w:rPr>
                <w:rFonts w:hint="eastAsia" w:ascii="宋体" w:hAnsi="宋体" w:cs="宋体"/>
                <w:color w:val="00000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lang w:eastAsia="zh-CN"/>
              </w:rPr>
            </w:pPr>
            <w:r>
              <w:rPr>
                <w:rFonts w:hint="eastAsia" w:ascii="宋体" w:hAnsi="宋体" w:cs="宋体"/>
                <w:color w:val="000000"/>
                <w:sz w:val="18"/>
                <w:szCs w:val="18"/>
              </w:rPr>
              <w:t>589.2</w:t>
            </w:r>
            <w:r>
              <w:rPr>
                <w:rFonts w:hint="eastAsia" w:ascii="宋体" w:hAnsi="宋体" w:cs="宋体"/>
                <w:color w:val="000000"/>
                <w:sz w:val="18"/>
                <w:szCs w:val="18"/>
                <w:lang w:val="en-US" w:eastAsia="zh-CN"/>
              </w:rPr>
              <w:t>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589.2</w:t>
            </w:r>
            <w:r>
              <w:rPr>
                <w:rFonts w:hint="eastAsia" w:ascii="宋体" w:hAnsi="宋体" w:cs="宋体"/>
                <w:color w:val="000000"/>
                <w:sz w:val="20"/>
                <w:szCs w:val="2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8"/>
        <w:tblW w:w="88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5"/>
        <w:gridCol w:w="179"/>
        <w:gridCol w:w="520"/>
        <w:gridCol w:w="1851"/>
        <w:gridCol w:w="260"/>
        <w:gridCol w:w="73"/>
        <w:gridCol w:w="90"/>
        <w:gridCol w:w="260"/>
        <w:gridCol w:w="392"/>
        <w:gridCol w:w="173"/>
        <w:gridCol w:w="250"/>
        <w:gridCol w:w="393"/>
        <w:gridCol w:w="332"/>
        <w:gridCol w:w="91"/>
        <w:gridCol w:w="392"/>
        <w:gridCol w:w="423"/>
        <w:gridCol w:w="9"/>
        <w:gridCol w:w="383"/>
        <w:gridCol w:w="262"/>
        <w:gridCol w:w="161"/>
        <w:gridCol w:w="484"/>
        <w:gridCol w:w="840"/>
        <w:gridCol w:w="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jc w:val="center"/>
        </w:trPr>
        <w:tc>
          <w:tcPr>
            <w:tcW w:w="8800" w:type="dxa"/>
            <w:gridSpan w:val="23"/>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84"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4"/>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971"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jc w:val="center"/>
        </w:trPr>
        <w:tc>
          <w:tcPr>
            <w:tcW w:w="2885" w:type="dxa"/>
            <w:gridSpan w:val="4"/>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4"/>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5"/>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8" w:hRule="exact"/>
          <w:jc w:val="center"/>
        </w:trPr>
        <w:tc>
          <w:tcPr>
            <w:tcW w:w="3218"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15" w:type="dxa"/>
            <w:gridSpan w:val="4"/>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75"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15" w:type="dxa"/>
            <w:gridSpan w:val="4"/>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645"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645"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84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647"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3"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184" w:type="dxa"/>
            <w:gridSpan w:val="3"/>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15" w:type="dxa"/>
            <w:gridSpan w:val="4"/>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75"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15" w:type="dxa"/>
            <w:gridSpan w:val="4"/>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645"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645"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4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647"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3218"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218"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915" w:type="dxa"/>
            <w:gridSpan w:val="4"/>
            <w:tcBorders>
              <w:top w:val="single" w:color="000000" w:sz="4" w:space="0"/>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color w:val="000000"/>
                <w:sz w:val="21"/>
                <w:szCs w:val="21"/>
              </w:rPr>
            </w:pPr>
            <w:r>
              <w:rPr>
                <w:rFonts w:hint="eastAsia" w:ascii="宋体" w:hAnsi="宋体" w:eastAsia="宋体" w:cs="宋体"/>
                <w:i w:val="0"/>
                <w:color w:val="000000"/>
                <w:kern w:val="0"/>
                <w:sz w:val="21"/>
                <w:szCs w:val="21"/>
                <w:u w:val="none"/>
                <w:lang w:val="en-US" w:eastAsia="zh-CN" w:bidi="ar"/>
              </w:rPr>
              <w:t>583.91</w:t>
            </w:r>
          </w:p>
        </w:tc>
        <w:tc>
          <w:tcPr>
            <w:tcW w:w="9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color w:val="000000"/>
                <w:sz w:val="21"/>
                <w:szCs w:val="21"/>
              </w:rPr>
            </w:pPr>
            <w:r>
              <w:rPr>
                <w:rFonts w:hint="eastAsia" w:ascii="宋体" w:hAnsi="宋体" w:eastAsia="宋体" w:cs="宋体"/>
                <w:i w:val="0"/>
                <w:color w:val="000000"/>
                <w:kern w:val="0"/>
                <w:sz w:val="21"/>
                <w:szCs w:val="21"/>
                <w:u w:val="none"/>
                <w:lang w:val="en-US" w:eastAsia="zh-CN" w:bidi="ar"/>
              </w:rPr>
              <w:t>583.91</w:t>
            </w:r>
          </w:p>
        </w:tc>
        <w:tc>
          <w:tcPr>
            <w:tcW w:w="915"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645"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645"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84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64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201</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498.13</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498.13</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20105</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统计信息事务</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498.13</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498.13</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2010501</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458.23</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458.23</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2010505</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专项统计业务</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20</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20</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2010507</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专项普查活动</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19.90</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19.90</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208</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lang w:val="en-US"/>
              </w:rPr>
            </w:pPr>
            <w:r>
              <w:rPr>
                <w:rFonts w:hint="eastAsia" w:ascii="宋体" w:hAnsi="宋体" w:eastAsia="宋体" w:cs="宋体"/>
                <w:i w:val="0"/>
                <w:color w:val="000000"/>
                <w:kern w:val="0"/>
                <w:sz w:val="21"/>
                <w:szCs w:val="21"/>
                <w:u w:val="none"/>
                <w:lang w:val="en-US" w:eastAsia="zh-CN" w:bidi="ar"/>
              </w:rPr>
              <w:t>41.09</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20805</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行政事业单位离退休</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2080505</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210</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卫生健康支出</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21011</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行政事业单位医疗</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2101101</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221</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住房保障支出</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22102</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住房改革支出</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spacing w:beforeLines="0" w:afterLines="0"/>
              <w:jc w:val="left"/>
              <w:rPr>
                <w:rFonts w:hint="eastAsia" w:ascii="宋体" w:hAnsi="宋体" w:eastAsia="宋体" w:cs="宋体"/>
                <w:color w:val="000000"/>
                <w:szCs w:val="21"/>
              </w:rPr>
            </w:pPr>
            <w:r>
              <w:rPr>
                <w:rFonts w:hint="eastAsia" w:ascii="宋体" w:hAnsi="宋体" w:eastAsia="宋体" w:cs="宋体"/>
                <w:color w:val="000000"/>
                <w:sz w:val="22"/>
              </w:rPr>
              <w:t>2210201</w:t>
            </w:r>
          </w:p>
        </w:tc>
        <w:tc>
          <w:tcPr>
            <w:tcW w:w="2184"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975"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91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4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8800" w:type="dxa"/>
            <w:gridSpan w:val="23"/>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8"/>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289"/>
        <w:gridCol w:w="803"/>
        <w:gridCol w:w="1764"/>
        <w:gridCol w:w="1118"/>
        <w:gridCol w:w="90"/>
        <w:gridCol w:w="896"/>
        <w:gridCol w:w="134"/>
        <w:gridCol w:w="88"/>
        <w:gridCol w:w="708"/>
        <w:gridCol w:w="322"/>
        <w:gridCol w:w="90"/>
        <w:gridCol w:w="398"/>
        <w:gridCol w:w="270"/>
        <w:gridCol w:w="362"/>
        <w:gridCol w:w="628"/>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atLeast"/>
        </w:trPr>
        <w:tc>
          <w:tcPr>
            <w:tcW w:w="9000" w:type="dxa"/>
            <w:gridSpan w:val="17"/>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8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9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7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40"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3146" w:type="dxa"/>
            <w:gridSpan w:val="4"/>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11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6"/>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trPr>
        <w:tc>
          <w:tcPr>
            <w:tcW w:w="426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986"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930" w:type="dxa"/>
            <w:gridSpan w:val="3"/>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810" w:type="dxa"/>
            <w:gridSpan w:val="3"/>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632"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628"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750"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2"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986"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30" w:type="dxa"/>
            <w:gridSpan w:val="3"/>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10" w:type="dxa"/>
            <w:gridSpan w:val="3"/>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32"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28"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50"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426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426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color w:val="000000"/>
                <w:sz w:val="21"/>
                <w:szCs w:val="21"/>
              </w:rPr>
            </w:pPr>
            <w:r>
              <w:rPr>
                <w:rFonts w:hint="eastAsia" w:ascii="宋体" w:hAnsi="宋体" w:eastAsia="宋体" w:cs="宋体"/>
                <w:i w:val="0"/>
                <w:color w:val="000000"/>
                <w:kern w:val="0"/>
                <w:sz w:val="21"/>
                <w:szCs w:val="21"/>
                <w:u w:val="none"/>
                <w:lang w:val="en-US" w:eastAsia="zh-CN" w:bidi="ar"/>
              </w:rPr>
              <w:t>587.79</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color w:val="000000"/>
                <w:sz w:val="21"/>
                <w:szCs w:val="21"/>
                <w:lang w:val="en-US"/>
              </w:rPr>
            </w:pPr>
            <w:r>
              <w:rPr>
                <w:rFonts w:hint="eastAsia" w:ascii="宋体" w:hAnsi="宋体" w:eastAsia="宋体" w:cs="宋体"/>
                <w:i w:val="0"/>
                <w:color w:val="000000"/>
                <w:kern w:val="0"/>
                <w:sz w:val="21"/>
                <w:szCs w:val="21"/>
                <w:u w:val="none"/>
                <w:lang w:val="en-US" w:eastAsia="zh-CN" w:bidi="ar"/>
              </w:rPr>
              <w:t>544.60</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color w:val="000000"/>
                <w:sz w:val="21"/>
                <w:szCs w:val="21"/>
                <w:lang w:val="en-US"/>
              </w:rPr>
            </w:pPr>
            <w:r>
              <w:rPr>
                <w:rFonts w:hint="eastAsia" w:ascii="宋体" w:hAnsi="宋体" w:eastAsia="宋体" w:cs="宋体"/>
                <w:i w:val="0"/>
                <w:color w:val="000000"/>
                <w:kern w:val="0"/>
                <w:sz w:val="21"/>
                <w:szCs w:val="21"/>
                <w:u w:val="none"/>
                <w:lang w:val="en-US" w:eastAsia="zh-CN" w:bidi="ar"/>
              </w:rPr>
              <w:t>43.19</w:t>
            </w: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502.01</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458.81</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lang w:val="en-US"/>
              </w:rPr>
            </w:pPr>
            <w:r>
              <w:rPr>
                <w:rFonts w:hint="eastAsia" w:ascii="宋体" w:hAnsi="宋体" w:eastAsia="宋体" w:cs="宋体"/>
                <w:i w:val="0"/>
                <w:color w:val="000000"/>
                <w:kern w:val="0"/>
                <w:sz w:val="21"/>
                <w:szCs w:val="21"/>
                <w:u w:val="none"/>
                <w:lang w:val="en-US" w:eastAsia="zh-CN" w:bidi="ar"/>
              </w:rPr>
              <w:t>43.19</w:t>
            </w: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20105</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统计信息事务</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502.01</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458.81</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lang w:val="en-US"/>
              </w:rPr>
            </w:pPr>
            <w:r>
              <w:rPr>
                <w:rFonts w:hint="eastAsia" w:ascii="宋体" w:hAnsi="宋体" w:eastAsia="宋体" w:cs="宋体"/>
                <w:i w:val="0"/>
                <w:color w:val="000000"/>
                <w:kern w:val="0"/>
                <w:sz w:val="21"/>
                <w:szCs w:val="21"/>
                <w:u w:val="none"/>
                <w:lang w:val="en-US" w:eastAsia="zh-CN" w:bidi="ar"/>
              </w:rPr>
              <w:t>43.19</w:t>
            </w: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2010501</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458.81</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458.81</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2010505</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专项统计业务</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20.02</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20.02</w:t>
            </w: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2010507</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专项普查活动</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23.18</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23.18</w:t>
            </w: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208</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20805</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行政事业单位离退休</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9"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2080505</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210</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卫生健康支出</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21011</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行政事业单位医疗</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2101101</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221</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住房保障支出</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22102</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住房改革支出</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2210201</w:t>
            </w:r>
          </w:p>
        </w:tc>
        <w:tc>
          <w:tcPr>
            <w:tcW w:w="288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986"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930" w:type="dxa"/>
            <w:gridSpan w:val="3"/>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810" w:type="dxa"/>
            <w:gridSpan w:val="3"/>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6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000" w:type="dxa"/>
            <w:gridSpan w:val="1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8"/>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583.91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eastAsia="zh-CN"/>
              </w:rPr>
            </w:pPr>
            <w:r>
              <w:rPr>
                <w:rFonts w:hint="eastAsia" w:ascii="宋体" w:hAnsi="宋体" w:cs="宋体"/>
                <w:color w:val="000000"/>
                <w:sz w:val="18"/>
                <w:szCs w:val="18"/>
              </w:rPr>
              <w:t>498.8</w:t>
            </w:r>
            <w:r>
              <w:rPr>
                <w:rFonts w:hint="eastAsia" w:ascii="宋体" w:hAnsi="宋体" w:cs="宋体"/>
                <w:color w:val="000000"/>
                <w:sz w:val="18"/>
                <w:szCs w:val="18"/>
                <w:lang w:val="en-US" w:eastAsia="zh-CN"/>
              </w:rPr>
              <w:t>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498.8</w:t>
            </w:r>
            <w:r>
              <w:rPr>
                <w:rFonts w:hint="eastAsia" w:ascii="宋体" w:hAnsi="宋体" w:cs="宋体"/>
                <w:color w:val="000000"/>
                <w:sz w:val="18"/>
                <w:szCs w:val="18"/>
                <w:lang w:val="en-US" w:eastAsia="zh-CN"/>
              </w:rPr>
              <w:t>1</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41.09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41.09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16.77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16.77</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27.92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27.92</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583.91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584.59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584.59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1.47</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0.79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0.79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1.47</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eastAsia="zh-CN"/>
              </w:rPr>
            </w:pPr>
            <w:r>
              <w:rPr>
                <w:rFonts w:hint="eastAsia" w:ascii="宋体" w:hAnsi="宋体" w:cs="宋体"/>
                <w:color w:val="000000"/>
                <w:sz w:val="18"/>
                <w:szCs w:val="18"/>
              </w:rPr>
              <w:t>585.3</w:t>
            </w:r>
            <w:r>
              <w:rPr>
                <w:rFonts w:hint="eastAsia" w:ascii="宋体" w:hAnsi="宋体" w:cs="宋体"/>
                <w:color w:val="000000"/>
                <w:sz w:val="18"/>
                <w:szCs w:val="18"/>
                <w:lang w:val="en-US" w:eastAsia="zh-CN"/>
              </w:rPr>
              <w:t>9</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rPr>
              <w:t>585.</w:t>
            </w:r>
            <w:r>
              <w:rPr>
                <w:rFonts w:hint="eastAsia" w:ascii="宋体" w:hAnsi="宋体" w:cs="宋体"/>
                <w:color w:val="000000"/>
                <w:sz w:val="18"/>
                <w:szCs w:val="18"/>
                <w:lang w:val="en-US" w:eastAsia="zh-CN"/>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585.3</w:t>
            </w:r>
            <w:r>
              <w:rPr>
                <w:rFonts w:hint="eastAsia" w:ascii="宋体" w:hAnsi="宋体" w:cs="宋体"/>
                <w:color w:val="000000"/>
                <w:sz w:val="18"/>
                <w:szCs w:val="18"/>
                <w:lang w:val="en-US" w:eastAsia="zh-CN"/>
              </w:rPr>
              <w:t>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8"/>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847"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10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color w:val="000000"/>
                <w:sz w:val="21"/>
                <w:szCs w:val="21"/>
              </w:rPr>
            </w:pPr>
            <w:r>
              <w:rPr>
                <w:rFonts w:hint="eastAsia" w:ascii="宋体" w:hAnsi="宋体" w:eastAsia="宋体" w:cs="宋体"/>
                <w:i w:val="0"/>
                <w:color w:val="000000"/>
                <w:kern w:val="0"/>
                <w:sz w:val="21"/>
                <w:szCs w:val="21"/>
                <w:u w:val="none"/>
                <w:lang w:val="en-US" w:eastAsia="zh-CN" w:bidi="ar"/>
              </w:rPr>
              <w:t>584.59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color w:val="000000"/>
                <w:sz w:val="21"/>
                <w:szCs w:val="21"/>
                <w:lang w:val="en-US"/>
              </w:rPr>
            </w:pPr>
            <w:r>
              <w:rPr>
                <w:rFonts w:hint="eastAsia" w:ascii="宋体" w:hAnsi="宋体" w:eastAsia="宋体" w:cs="宋体"/>
                <w:i w:val="0"/>
                <w:color w:val="000000"/>
                <w:kern w:val="0"/>
                <w:sz w:val="21"/>
                <w:szCs w:val="21"/>
                <w:u w:val="none"/>
                <w:lang w:val="en-US" w:eastAsia="zh-CN" w:bidi="ar"/>
              </w:rPr>
              <w:t>544.60</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color w:val="000000"/>
                <w:sz w:val="21"/>
                <w:szCs w:val="21"/>
                <w:lang w:val="en-US"/>
              </w:rPr>
            </w:pPr>
            <w:r>
              <w:rPr>
                <w:rFonts w:hint="eastAsia" w:ascii="宋体" w:hAnsi="宋体" w:eastAsia="宋体" w:cs="宋体"/>
                <w:i w:val="0"/>
                <w:color w:val="000000"/>
                <w:kern w:val="0"/>
                <w:sz w:val="21"/>
                <w:szCs w:val="21"/>
                <w:u w:val="none"/>
                <w:lang w:val="en-US" w:eastAsia="zh-CN" w:bidi="ar"/>
              </w:rPr>
              <w:t>39.99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498.81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458.81</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lang w:val="en-US"/>
              </w:rPr>
            </w:pPr>
            <w:r>
              <w:rPr>
                <w:rFonts w:hint="eastAsia" w:ascii="宋体" w:hAnsi="宋体" w:eastAsia="宋体" w:cs="宋体"/>
                <w:i w:val="0"/>
                <w:color w:val="000000"/>
                <w:kern w:val="0"/>
                <w:sz w:val="21"/>
                <w:szCs w:val="21"/>
                <w:u w:val="none"/>
                <w:lang w:val="en-US" w:eastAsia="zh-CN" w:bidi="ar"/>
              </w:rPr>
              <w:t>39.99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统计信息事务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498.81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458.81</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lang w:val="en-US"/>
              </w:rPr>
            </w:pPr>
            <w:r>
              <w:rPr>
                <w:rFonts w:hint="eastAsia" w:ascii="宋体" w:hAnsi="宋体" w:eastAsia="宋体" w:cs="宋体"/>
                <w:i w:val="0"/>
                <w:color w:val="000000"/>
                <w:kern w:val="0"/>
                <w:sz w:val="21"/>
                <w:szCs w:val="21"/>
                <w:u w:val="none"/>
                <w:lang w:val="en-US" w:eastAsia="zh-CN" w:bidi="ar"/>
              </w:rPr>
              <w:t>39.99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2010501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458.81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458.81</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专项统计业务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20.02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2010507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专项普查活动</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19.98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20805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行政事业单位离退休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2080505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41.09</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卫生健康支出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21011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行政事业单位医疗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2101101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16.77</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221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住房保障支出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22102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住房改革支出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2210201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27.92</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8"/>
        <w:tblW w:w="91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785"/>
        <w:gridCol w:w="750"/>
        <w:gridCol w:w="615"/>
        <w:gridCol w:w="1680"/>
        <w:gridCol w:w="705"/>
        <w:gridCol w:w="630"/>
        <w:gridCol w:w="174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85"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5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615"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68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05"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63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457"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5388"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p>
        </w:tc>
        <w:tc>
          <w:tcPr>
            <w:tcW w:w="705"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63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457"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09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087"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61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68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0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63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5"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5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615"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05"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63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1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389.95</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58.93</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137.65</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5.90</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124.57</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2.72</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9.41</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22.39</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41.09</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18.55</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16.77</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1.12</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1.36</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27.92</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1.17</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9.03</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95.72</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0.04</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1.50</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0.19</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18.70</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0.10</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5.07</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2.90</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76.92</w:t>
            </w: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3.07</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1.59</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13.50</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color w:val="000000"/>
                <w:kern w:val="0"/>
                <w:sz w:val="16"/>
                <w:szCs w:val="16"/>
                <w:lang w:val="en-US" w:eastAsia="zh-CN" w:bidi="ar-SA"/>
              </w:rPr>
            </w:pPr>
          </w:p>
        </w:tc>
        <w:tc>
          <w:tcPr>
            <w:tcW w:w="61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68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05"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1.37</w:t>
            </w:r>
          </w:p>
        </w:tc>
        <w:tc>
          <w:tcPr>
            <w:tcW w:w="63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234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750" w:type="dxa"/>
            <w:tcBorders>
              <w:top w:val="nil"/>
              <w:left w:val="nil"/>
              <w:bottom w:val="single" w:color="000000" w:sz="4" w:space="0"/>
              <w:right w:val="single" w:color="000000" w:sz="4" w:space="0"/>
            </w:tcBorders>
            <w:tcMar>
              <w:top w:w="15" w:type="dxa"/>
              <w:left w:w="15" w:type="dxa"/>
              <w:right w:w="15" w:type="dxa"/>
            </w:tcMar>
            <w:vAlign w:val="top"/>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485.67</w:t>
            </w:r>
          </w:p>
        </w:tc>
        <w:tc>
          <w:tcPr>
            <w:tcW w:w="537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71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58.93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8"/>
        <w:tblW w:w="88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3.56</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1"/>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2.80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1"/>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2.80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2.78</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1"/>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2.09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1"/>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2.09</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8"/>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 注：本</w:t>
            </w:r>
            <w:r>
              <w:rPr>
                <w:rFonts w:hint="eastAsia" w:ascii="宋体" w:hAnsi="宋体" w:cs="宋体"/>
                <w:color w:val="000000"/>
                <w:kern w:val="0"/>
                <w:szCs w:val="21"/>
                <w:lang w:eastAsia="zh-CN"/>
              </w:rPr>
              <w:t>部门本年度无相关收入支出情况，按要求空表列示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8"/>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w:t>
            </w:r>
            <w:r>
              <w:rPr>
                <w:rFonts w:hint="eastAsia" w:ascii="宋体" w:hAnsi="宋体" w:cs="宋体"/>
                <w:color w:val="000000"/>
                <w:kern w:val="0"/>
                <w:szCs w:val="21"/>
              </w:rPr>
              <w:t>本</w:t>
            </w:r>
            <w:r>
              <w:rPr>
                <w:rFonts w:hint="eastAsia" w:ascii="宋体" w:hAnsi="宋体" w:cs="宋体"/>
                <w:color w:val="000000"/>
                <w:kern w:val="0"/>
                <w:szCs w:val="21"/>
                <w:lang w:eastAsia="zh-CN"/>
              </w:rPr>
              <w:t>部门本年度无相关支出情况，按要求空表列示</w:t>
            </w:r>
            <w:r>
              <w:rPr>
                <w:rFonts w:hint="eastAsia" w:ascii="宋体" w:hAnsi="宋体" w:cs="宋体"/>
                <w:color w:val="000000"/>
                <w:kern w:val="0"/>
                <w:szCs w:val="21"/>
              </w:rPr>
              <w:t>。</w:t>
            </w:r>
          </w:p>
        </w:tc>
      </w:tr>
    </w:tbl>
    <w:p>
      <w:pPr>
        <w:widowControl/>
        <w:spacing w:after="0" w:line="560" w:lineRule="exact"/>
        <w:jc w:val="left"/>
        <w:rPr>
          <w:rFonts w:ascii="仿宋_GB2312" w:hAnsi="宋体" w:eastAsia="仿宋_GB2312"/>
          <w:b/>
          <w:sz w:val="28"/>
          <w:szCs w:val="28"/>
          <w:highlight w:val="yellow"/>
        </w:rPr>
      </w:pPr>
    </w:p>
    <w:p/>
    <w:p/>
    <w:p/>
    <w:p/>
    <w:p>
      <w:pPr>
        <w:tabs>
          <w:tab w:val="left" w:pos="886"/>
        </w:tabs>
        <w:jc w:val="left"/>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384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384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Y7bEa1oCAAC4BAAADgAAAGRycy9lMm9Eb2MueG1s&#10;rVTLbhMxFN0j8Q+W93TyDo06qUKiIKSKVgqIteOxk5E8trGdzJQPgD/oig17vqvfwbEzSSOgG0QW&#10;zn2c3Me59+bquqkU2QvnS6Nz2r3oUCI0N0WpNzn9+GH56jUlPjBdMGW0yOm98PR6+vLFVW0nome2&#10;RhXCEQTRflLbnG5DsJMs83wrKuYvjBUaTmlcxQJUt8kKx2pEr1TW63RGWW1cYZ3hwntYFwcnnab4&#10;UgoebqX0IhCVU9QW0uvSu45vNr1ik41jdlvytgz2D1VUrNRIegq1YIGRnSv/CFWV3BlvZLjgpsqM&#10;lCUXqQd00+381s1qy6xIvYAcb080+f8Xlr/f3zlSFjntYVKaVZjR48O3x+8/H398JbCBoNr6CXAr&#10;C2Ro3pgGgz7aPYyx70a6Kn6jIwI/qL4/0SuaQDiM4/Flvz8cUsLh6/cH3f44DSB7+rl1PrwVpiJR&#10;yKnD/BKtbH/jA0oB9AiJ2SwLYVkq1cItD8MEl5u5SmV5t1lDJHuG+S+Xi8vRKFaOMCfI+hnsEp8W&#10;20Ji8jZhTK40qXM66g87Kac3qixiMdH3fN4zGOIpjWIivwceoxSaddOSvjbFPTh35rC23vJlCV5u&#10;mA93zGFPQTNuL9zikcqgGtNKlGyN+/I3e8RjfeClpMbe59R/3jEnKFHvNBbrsjsYxENJymA47kFx&#10;5571uUfvqrkBtV1cueVJjPigjqJ0pvqEE53FrHAxzZE7pzy4ozIPh3vEkXMxmyUYjgNU3+iV5TF4&#10;pFSb2S4YWaY1iEQd2Gn5w3mksbanHO/vXE+opz+c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5vsn2wAAAAwBAAAPAAAAAAAAAAEAIAAAACIAAABkcnMvZG93bnJldi54bWxQSwECFAAUAAAACACH&#10;TuJAY7bEa1oCAAC4BAAADgAAAAAAAAABACAAAAAqAQAAZHJzL2Uyb0RvYy54bWxQSwUGAAAAAAYA&#10;BgBZAQAA9gUAAAAA&#10;">
                <v:fill type="pattern" on="t" color2="#FFFFFF [3212]" focussize="0,0" r:id="rId27"/>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2" w:type="default"/>
          <w:footerReference r:id="rId23"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spacing w:line="584"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（一）预算绩效管理工作开展情况</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个，涉及资金</w:t>
      </w:r>
      <w:r>
        <w:rPr>
          <w:rFonts w:hint="eastAsia" w:ascii="Times New Roman" w:hAnsi="Times New Roman" w:eastAsia="仿宋_GB2312" w:cs="Times New Roman"/>
          <w:color w:val="000000"/>
          <w:sz w:val="32"/>
          <w:szCs w:val="32"/>
          <w:lang w:val="en-US" w:eastAsia="zh-CN"/>
        </w:rPr>
        <w:t>43.81</w:t>
      </w:r>
      <w:r>
        <w:rPr>
          <w:rFonts w:ascii="Times New Roman" w:hAnsi="Times New Roman" w:eastAsia="仿宋_GB2312" w:cs="Times New Roman"/>
          <w:color w:val="000000"/>
          <w:sz w:val="32"/>
          <w:szCs w:val="32"/>
        </w:rPr>
        <w:t>万元，占一般公共预算项目支出总额的</w:t>
      </w:r>
      <w:r>
        <w:rPr>
          <w:rFonts w:hint="eastAsia" w:ascii="Times New Roman" w:hAnsi="Times New Roman" w:eastAsia="仿宋_GB2312" w:cs="Times New Roman"/>
          <w:color w:val="000000"/>
          <w:sz w:val="32"/>
          <w:szCs w:val="32"/>
          <w:lang w:val="en-US" w:eastAsia="zh-CN"/>
        </w:rPr>
        <w:t>97.36%</w:t>
      </w:r>
      <w:r>
        <w:rPr>
          <w:rFonts w:ascii="Times New Roman" w:hAnsi="Times New Roman" w:eastAsia="仿宋_GB2312" w:cs="Times New Roman"/>
          <w:color w:val="000000"/>
          <w:sz w:val="32"/>
          <w:szCs w:val="32"/>
        </w:rPr>
        <w:t>。组织对“</w:t>
      </w:r>
      <w:r>
        <w:rPr>
          <w:rFonts w:hint="eastAsia" w:ascii="Times New Roman" w:hAnsi="Times New Roman" w:eastAsia="仿宋_GB2312" w:cs="Times New Roman"/>
          <w:color w:val="000000"/>
          <w:sz w:val="32"/>
          <w:szCs w:val="32"/>
        </w:rPr>
        <w:t>专项统计调查经费</w:t>
      </w:r>
      <w:r>
        <w:rPr>
          <w:rFonts w:hint="eastAsia" w:ascii="Times New Roman" w:hAnsi="Times New Roman" w:eastAsia="仿宋_GB2312" w:cs="Times New Roman"/>
          <w:color w:val="000000"/>
          <w:sz w:val="32"/>
          <w:szCs w:val="32"/>
          <w:lang w:eastAsia="zh-CN"/>
        </w:rPr>
        <w:t>、第四次全国经济普查经费、政府向社会购买服务专项经费</w:t>
      </w:r>
      <w:r>
        <w:rPr>
          <w:rFonts w:ascii="Times New Roman" w:hAnsi="Times New Roman" w:eastAsia="仿宋_GB2312" w:cs="Times New Roman"/>
          <w:color w:val="000000"/>
          <w:sz w:val="32"/>
          <w:szCs w:val="32"/>
        </w:rPr>
        <w:t>”等</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个项目开展了部门评价，涉及一般公共预算支出</w:t>
      </w:r>
      <w:r>
        <w:rPr>
          <w:rFonts w:hint="eastAsia" w:ascii="Times New Roman" w:hAnsi="Times New Roman" w:eastAsia="仿宋_GB2312" w:cs="Times New Roman"/>
          <w:color w:val="000000"/>
          <w:sz w:val="32"/>
          <w:szCs w:val="32"/>
          <w:lang w:val="en-US" w:eastAsia="zh-CN"/>
        </w:rPr>
        <w:t>43.81</w:t>
      </w:r>
      <w:r>
        <w:rPr>
          <w:rFonts w:ascii="Times New Roman" w:hAnsi="Times New Roman" w:eastAsia="仿宋_GB2312" w:cs="Times New Roman"/>
          <w:color w:val="000000"/>
          <w:sz w:val="32"/>
          <w:szCs w:val="32"/>
        </w:rPr>
        <w:t>万元。</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spacing w:line="584"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1.项目绩效自评结果。</w:t>
      </w:r>
      <w:r>
        <w:rPr>
          <w:rFonts w:ascii="Times New Roman" w:hAnsi="Times New Roman" w:eastAsia="仿宋_GB2312" w:cs="Times New Roman"/>
          <w:color w:val="000000"/>
          <w:sz w:val="32"/>
          <w:szCs w:val="32"/>
        </w:rPr>
        <w:t>本部门2019 年度对</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个项目进行了绩效自评，项目自评结果</w:t>
      </w:r>
      <w:r>
        <w:rPr>
          <w:rFonts w:hint="eastAsia" w:ascii="Times New Roman" w:hAnsi="Times New Roman" w:eastAsia="仿宋_GB2312" w:cs="Times New Roman"/>
          <w:color w:val="000000"/>
          <w:sz w:val="32"/>
          <w:szCs w:val="32"/>
          <w:lang w:eastAsia="zh-CN"/>
        </w:rPr>
        <w:t>为</w:t>
      </w:r>
      <w:r>
        <w:rPr>
          <w:rFonts w:hint="eastAsia" w:ascii="Times New Roman" w:hAnsi="Times New Roman" w:eastAsia="仿宋_GB2312" w:cs="Times New Roman"/>
          <w:color w:val="000000"/>
          <w:sz w:val="32"/>
          <w:szCs w:val="32"/>
          <w:lang w:val="en-US" w:eastAsia="zh-CN"/>
        </w:rPr>
        <w:t>3个项目均为</w:t>
      </w:r>
      <w:r>
        <w:rPr>
          <w:rFonts w:ascii="Times New Roman" w:hAnsi="Times New Roman" w:eastAsia="仿宋_GB2312" w:cs="Times New Roman"/>
          <w:color w:val="000000"/>
          <w:sz w:val="32"/>
          <w:szCs w:val="32"/>
        </w:rPr>
        <w:t>90 分以上。在部门决算公开中反映</w:t>
      </w:r>
      <w:r>
        <w:rPr>
          <w:rFonts w:hint="eastAsia" w:ascii="Times New Roman" w:hAnsi="Times New Roman" w:eastAsia="仿宋_GB2312" w:cs="Times New Roman"/>
          <w:color w:val="000000"/>
          <w:sz w:val="32"/>
          <w:szCs w:val="32"/>
        </w:rPr>
        <w:t>专项统计调查经费</w:t>
      </w:r>
      <w:r>
        <w:rPr>
          <w:rFonts w:ascii="Times New Roman" w:hAnsi="Times New Roman" w:eastAsia="仿宋_GB2312" w:cs="Times New Roman"/>
          <w:color w:val="000000"/>
          <w:sz w:val="32"/>
          <w:szCs w:val="32"/>
        </w:rPr>
        <w:t>项目及</w:t>
      </w:r>
      <w:r>
        <w:rPr>
          <w:rFonts w:hint="eastAsia" w:ascii="Times New Roman" w:hAnsi="Times New Roman" w:eastAsia="仿宋_GB2312" w:cs="Times New Roman"/>
          <w:color w:val="000000"/>
          <w:sz w:val="32"/>
          <w:szCs w:val="32"/>
          <w:lang w:eastAsia="zh-CN"/>
        </w:rPr>
        <w:t>第四次全国经济普查经费项目</w:t>
      </w:r>
      <w:r>
        <w:rPr>
          <w:rFonts w:ascii="Times New Roman" w:hAnsi="Times New Roman" w:eastAsia="仿宋_GB2312" w:cs="Times New Roman"/>
          <w:color w:val="000000"/>
          <w:sz w:val="32"/>
          <w:szCs w:val="32"/>
        </w:rPr>
        <w:t xml:space="preserve"> 等</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个项目绩效自评结果。</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专项统计调查经费</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eastAsia="zh-CN"/>
        </w:rPr>
        <w:t>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rPr>
        <w:t>专项统计调查经费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20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20</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通过项目的开展，全面、准确、及时了解</w:t>
      </w:r>
      <w:r>
        <w:rPr>
          <w:rFonts w:hint="eastAsia" w:ascii="Times New Roman" w:hAnsi="Times New Roman" w:eastAsia="仿宋_GB2312" w:cs="Times New Roman"/>
          <w:color w:val="000000"/>
          <w:sz w:val="32"/>
          <w:szCs w:val="32"/>
          <w:lang w:eastAsia="zh-CN"/>
        </w:rPr>
        <w:t>了</w:t>
      </w:r>
      <w:r>
        <w:rPr>
          <w:rFonts w:hint="eastAsia" w:ascii="Times New Roman" w:hAnsi="Times New Roman" w:eastAsia="仿宋_GB2312" w:cs="Times New Roman"/>
          <w:color w:val="000000"/>
          <w:sz w:val="32"/>
          <w:szCs w:val="32"/>
        </w:rPr>
        <w:t>全国和各地区城乡居民收入、消费及其他生活状况，客观监测居民收入分配格局和不同收入层次居民的生活质量，更好地满足研究制定城乡统筹政策和民生政策的需要，为国民经济核算和居民消费价格指数权重制定提供基础数据</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第四次全国经济普查经费</w:t>
      </w:r>
      <w:r>
        <w:rPr>
          <w:rFonts w:ascii="Times New Roman" w:hAnsi="Times New Roman" w:eastAsia="仿宋_GB2312" w:cs="Times New Roman"/>
          <w:color w:val="000000"/>
          <w:sz w:val="32"/>
          <w:szCs w:val="32"/>
        </w:rPr>
        <w:t>项目绩效自评综述：根据年初设定的绩效目标，</w:t>
      </w:r>
      <w:r>
        <w:rPr>
          <w:rFonts w:hint="eastAsia" w:ascii="Times New Roman" w:hAnsi="Times New Roman" w:eastAsia="仿宋_GB2312" w:cs="Times New Roman"/>
          <w:color w:val="000000"/>
          <w:sz w:val="32"/>
          <w:szCs w:val="32"/>
        </w:rPr>
        <w:t>第四次全国经济普查经费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99.9</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20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19.9</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99.5%</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组织完成</w:t>
      </w:r>
      <w:r>
        <w:rPr>
          <w:rFonts w:hint="eastAsia" w:ascii="Times New Roman" w:hAnsi="Times New Roman" w:eastAsia="仿宋_GB2312" w:cs="Times New Roman"/>
          <w:color w:val="000000"/>
          <w:sz w:val="32"/>
          <w:szCs w:val="32"/>
          <w:lang w:eastAsia="zh-CN"/>
        </w:rPr>
        <w:t>了</w:t>
      </w:r>
      <w:r>
        <w:rPr>
          <w:rFonts w:hint="eastAsia" w:ascii="Times New Roman" w:hAnsi="Times New Roman" w:eastAsia="仿宋_GB2312" w:cs="Times New Roman"/>
          <w:color w:val="000000"/>
          <w:sz w:val="32"/>
          <w:szCs w:val="32"/>
        </w:rPr>
        <w:t>国家部署的国情国力普查及重要调查任务，研究提出重大县情县力普查和抽样调查计划并组织实施，汇总、整理和提供有关县情县力方面的统计数据。</w:t>
      </w:r>
      <w:r>
        <w:rPr>
          <w:rFonts w:ascii="Times New Roman" w:hAnsi="Times New Roman" w:eastAsia="仿宋_GB2312" w:cs="Times New Roman"/>
          <w:color w:val="000000"/>
          <w:sz w:val="32"/>
          <w:szCs w:val="32"/>
        </w:rPr>
        <w:t>发现的主要问题及原因：</w:t>
      </w:r>
      <w:r>
        <w:rPr>
          <w:rFonts w:hint="eastAsia" w:ascii="Times New Roman" w:hAnsi="Times New Roman" w:eastAsia="仿宋_GB2312" w:cs="Times New Roman"/>
          <w:color w:val="000000"/>
          <w:sz w:val="32"/>
          <w:szCs w:val="32"/>
          <w:lang w:eastAsia="zh-CN"/>
        </w:rPr>
        <w:t>成本指标未完成，主要原因是普查接待人次没有预想的多</w:t>
      </w:r>
      <w:r>
        <w:rPr>
          <w:rFonts w:ascii="Times New Roman" w:hAnsi="Times New Roman" w:eastAsia="仿宋_GB2312" w:cs="Times New Roman"/>
          <w:color w:val="000000"/>
          <w:sz w:val="32"/>
          <w:szCs w:val="32"/>
        </w:rPr>
        <w:t>。下一步改进措施：</w:t>
      </w:r>
      <w:r>
        <w:rPr>
          <w:rFonts w:hint="eastAsia" w:ascii="Times New Roman" w:hAnsi="Times New Roman" w:eastAsia="仿宋_GB2312" w:cs="Times New Roman"/>
          <w:color w:val="000000"/>
          <w:sz w:val="32"/>
          <w:szCs w:val="32"/>
          <w:lang w:eastAsia="zh-CN"/>
        </w:rPr>
        <w:t>减少决算和预算的差值</w:t>
      </w:r>
      <w:r>
        <w:rPr>
          <w:rFonts w:ascii="Times New Roman" w:hAnsi="Times New Roman" w:eastAsia="仿宋_GB2312" w:cs="Times New Roman"/>
          <w:color w:val="000000"/>
          <w:sz w:val="32"/>
          <w:szCs w:val="32"/>
        </w:rPr>
        <w:t>。</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b/>
          <w:bCs/>
          <w:color w:val="000000"/>
          <w:sz w:val="32"/>
          <w:szCs w:val="32"/>
        </w:rPr>
      </w:pPr>
      <w:r>
        <w:rPr>
          <w:rFonts w:hint="eastAsia" w:ascii="Times New Roman" w:hAnsi="Times New Roman" w:eastAsia="仿宋_GB2312" w:cs="Times New Roman"/>
          <w:color w:val="000000"/>
          <w:sz w:val="32"/>
          <w:szCs w:val="32"/>
        </w:rPr>
        <w:t>政府向社会购买服务专项经费</w:t>
      </w:r>
      <w:r>
        <w:rPr>
          <w:rFonts w:ascii="Times New Roman" w:hAnsi="Times New Roman" w:eastAsia="仿宋_GB2312" w:cs="Times New Roman"/>
          <w:color w:val="000000"/>
          <w:sz w:val="32"/>
          <w:szCs w:val="32"/>
        </w:rPr>
        <w:t>项目绩效自评综述：根据年初设定的绩效目标，</w:t>
      </w:r>
      <w:r>
        <w:rPr>
          <w:rFonts w:hint="eastAsia" w:ascii="Times New Roman" w:hAnsi="Times New Roman" w:eastAsia="仿宋_GB2312" w:cs="Times New Roman"/>
          <w:color w:val="000000"/>
          <w:sz w:val="32"/>
          <w:szCs w:val="32"/>
        </w:rPr>
        <w:t>政府向社会购买服务专项经费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95.64</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3.91</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78.2%</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通过购买服务人员，更好地完成</w:t>
      </w:r>
      <w:r>
        <w:rPr>
          <w:rFonts w:hint="eastAsia" w:ascii="Times New Roman" w:hAnsi="Times New Roman" w:eastAsia="仿宋_GB2312" w:cs="Times New Roman"/>
          <w:color w:val="000000"/>
          <w:sz w:val="32"/>
          <w:szCs w:val="32"/>
          <w:lang w:eastAsia="zh-CN"/>
        </w:rPr>
        <w:t>了</w:t>
      </w:r>
      <w:r>
        <w:rPr>
          <w:rFonts w:hint="eastAsia" w:ascii="Times New Roman" w:hAnsi="Times New Roman" w:eastAsia="仿宋_GB2312" w:cs="Times New Roman"/>
          <w:color w:val="000000"/>
          <w:sz w:val="32"/>
          <w:szCs w:val="32"/>
        </w:rPr>
        <w:t>办公室计算机网络程序工作</w:t>
      </w:r>
      <w:r>
        <w:rPr>
          <w:rFonts w:ascii="Times New Roman" w:hAnsi="Times New Roman" w:eastAsia="仿宋_GB2312" w:cs="Times New Roman"/>
          <w:color w:val="000000"/>
          <w:sz w:val="32"/>
          <w:szCs w:val="32"/>
        </w:rPr>
        <w:t>。发现的主要问题及原因：</w:t>
      </w:r>
      <w:r>
        <w:rPr>
          <w:rFonts w:hint="eastAsia" w:ascii="Times New Roman" w:hAnsi="Times New Roman" w:eastAsia="仿宋_GB2312" w:cs="Times New Roman"/>
          <w:color w:val="000000"/>
          <w:sz w:val="32"/>
          <w:szCs w:val="32"/>
          <w:lang w:eastAsia="zh-CN"/>
        </w:rPr>
        <w:t>政府购买服务人员的</w:t>
      </w:r>
      <w:r>
        <w:rPr>
          <w:rFonts w:hint="eastAsia" w:ascii="Times New Roman" w:hAnsi="Times New Roman" w:eastAsia="仿宋_GB2312" w:cs="Times New Roman"/>
          <w:color w:val="000000"/>
          <w:sz w:val="32"/>
          <w:szCs w:val="32"/>
        </w:rPr>
        <w:t>保险基数、比例调整没有预想的高</w:t>
      </w:r>
      <w:r>
        <w:rPr>
          <w:rFonts w:ascii="Times New Roman" w:hAnsi="Times New Roman" w:eastAsia="仿宋_GB2312" w:cs="Times New Roman"/>
          <w:color w:val="000000"/>
          <w:sz w:val="32"/>
          <w:szCs w:val="32"/>
        </w:rPr>
        <w:t>。下一步改进措施：</w:t>
      </w:r>
      <w:r>
        <w:rPr>
          <w:rFonts w:hint="eastAsia" w:ascii="Times New Roman" w:hAnsi="Times New Roman" w:eastAsia="仿宋_GB2312" w:cs="Times New Roman"/>
          <w:color w:val="000000"/>
          <w:sz w:val="32"/>
          <w:szCs w:val="32"/>
          <w:lang w:eastAsia="zh-CN"/>
        </w:rPr>
        <w:t>减少决算和预算的差值</w:t>
      </w:r>
      <w:r>
        <w:rPr>
          <w:rFonts w:ascii="Times New Roman" w:hAnsi="Times New Roman" w:eastAsia="仿宋_GB2312" w:cs="Times New Roman"/>
          <w:color w:val="000000"/>
          <w:sz w:val="32"/>
          <w:szCs w:val="32"/>
        </w:rPr>
        <w:t>。</w:t>
      </w:r>
    </w:p>
    <w:p>
      <w:pPr>
        <w:widowControl/>
        <w:numPr>
          <w:ilvl w:val="0"/>
          <w:numId w:val="3"/>
        </w:numPr>
        <w:tabs>
          <w:tab w:val="left" w:pos="0"/>
          <w:tab w:val="clear" w:pos="312"/>
        </w:tabs>
        <w:adjustRightInd w:val="0"/>
        <w:snapToGrid w:val="0"/>
        <w:spacing w:line="580" w:lineRule="exact"/>
        <w:ind w:firstLine="643" w:firstLineChars="200"/>
        <w:jc w:val="left"/>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财政评价项目绩效评价结果。</w:t>
      </w:r>
    </w:p>
    <w:p>
      <w:pPr>
        <w:widowControl/>
        <w:numPr>
          <w:ilvl w:val="0"/>
          <w:numId w:val="0"/>
        </w:numPr>
        <w:tabs>
          <w:tab w:val="left" w:pos="0"/>
        </w:tabs>
        <w:adjustRightInd w:val="0"/>
        <w:snapToGrid w:val="0"/>
        <w:spacing w:line="580" w:lineRule="exact"/>
        <w:jc w:val="left"/>
        <w:rPr>
          <w:rFonts w:hint="eastAsia"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val="0"/>
          <w:bCs w:val="0"/>
          <w:color w:val="000000"/>
          <w:sz w:val="32"/>
          <w:szCs w:val="32"/>
          <w:lang w:val="en-US" w:eastAsia="zh-CN"/>
        </w:rPr>
        <w:t xml:space="preserve"> 无</w:t>
      </w:r>
      <w:r>
        <w:rPr>
          <w:rFonts w:ascii="Times New Roman" w:hAnsi="Times New Roman" w:eastAsia="仿宋_GB2312" w:cs="Times New Roman"/>
          <w:b w:val="0"/>
          <w:bCs w:val="0"/>
          <w:color w:val="000000"/>
          <w:sz w:val="32"/>
          <w:szCs w:val="32"/>
        </w:rPr>
        <w:t>财政评价项目绩效评价结果</w:t>
      </w:r>
      <w:r>
        <w:rPr>
          <w:rFonts w:hint="eastAsia" w:ascii="Times New Roman" w:hAnsi="Times New Roman" w:eastAsia="仿宋_GB2312" w:cs="Times New Roman"/>
          <w:b w:val="0"/>
          <w:bCs w:val="0"/>
          <w:color w:val="000000"/>
          <w:sz w:val="32"/>
          <w:szCs w:val="32"/>
          <w:lang w:eastAsia="zh-CN"/>
        </w:rPr>
        <w:t>。</w:t>
      </w:r>
    </w:p>
    <w:p>
      <w:pPr>
        <w:widowControl/>
        <w:numPr>
          <w:ilvl w:val="0"/>
          <w:numId w:val="0"/>
        </w:numPr>
        <w:tabs>
          <w:tab w:val="left" w:pos="0"/>
        </w:tabs>
        <w:adjustRightInd w:val="0"/>
        <w:snapToGrid w:val="0"/>
        <w:spacing w:line="580" w:lineRule="exact"/>
        <w:ind w:firstLine="643" w:firstLineChars="200"/>
        <w:jc w:val="left"/>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3.部门整体绩效自评结果。</w:t>
      </w:r>
      <w:r>
        <w:rPr>
          <w:rFonts w:ascii="Times New Roman" w:hAnsi="Times New Roman" w:eastAsia="仿宋_GB2312" w:cs="Times New Roman"/>
          <w:sz w:val="32"/>
          <w:szCs w:val="32"/>
        </w:rPr>
        <w:t>本部门对2019年度部门整体绩效进行自评价，评价等级为优</w:t>
      </w:r>
      <w:r>
        <w:rPr>
          <w:rFonts w:ascii="Times New Roman" w:hAnsi="Times New Roman" w:eastAsia="仿宋_GB2312" w:cs="Times New Roman"/>
          <w:color w:val="000000"/>
          <w:sz w:val="32"/>
          <w:szCs w:val="32"/>
        </w:rPr>
        <w:t>（绩效自评</w:t>
      </w:r>
      <w:r>
        <w:rPr>
          <w:rFonts w:hint="eastAsia" w:ascii="Times New Roman" w:hAnsi="Times New Roman" w:eastAsia="仿宋_GB2312" w:cs="Times New Roman"/>
          <w:color w:val="000000"/>
          <w:sz w:val="32"/>
          <w:szCs w:val="32"/>
          <w:lang w:eastAsia="zh-CN"/>
        </w:rPr>
        <w:t>汇总</w:t>
      </w:r>
      <w:r>
        <w:rPr>
          <w:rFonts w:ascii="Times New Roman" w:hAnsi="Times New Roman" w:eastAsia="仿宋_GB2312" w:cs="Times New Roman"/>
          <w:color w:val="000000"/>
          <w:sz w:val="32"/>
          <w:szCs w:val="32"/>
        </w:rPr>
        <w:t>表附后）</w:t>
      </w:r>
      <w:r>
        <w:rPr>
          <w:rFonts w:ascii="Times New Roman" w:hAnsi="Times New Roman" w:eastAsia="仿宋_GB2312" w:cs="Times New Roman"/>
          <w:sz w:val="32"/>
          <w:szCs w:val="32"/>
        </w:rPr>
        <w:t>。从评价情况来看，我局较好完成了2019 年履行职能职责和各项重点工作任务，整体绩效情况较为理想，总体上达到了预算绩效管理的要求。</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tbl>
      <w:tblPr>
        <w:tblStyle w:val="8"/>
        <w:tblW w:w="92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7"/>
        <w:gridCol w:w="551"/>
        <w:gridCol w:w="1531"/>
        <w:gridCol w:w="875"/>
        <w:gridCol w:w="320"/>
        <w:gridCol w:w="443"/>
        <w:gridCol w:w="972"/>
        <w:gridCol w:w="1140"/>
        <w:gridCol w:w="315"/>
        <w:gridCol w:w="555"/>
        <w:gridCol w:w="120"/>
        <w:gridCol w:w="450"/>
        <w:gridCol w:w="60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6" w:hRule="atLeast"/>
        </w:trPr>
        <w:tc>
          <w:tcPr>
            <w:tcW w:w="9269"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4"/>
                <w:szCs w:val="44"/>
                <w:u w:val="none"/>
              </w:rPr>
            </w:pPr>
            <w:r>
              <w:rPr>
                <w:rFonts w:hint="default" w:ascii="Times New Roman" w:hAnsi="Times New Roman" w:eastAsia="宋体" w:cs="Times New Roman"/>
                <w:i w:val="0"/>
                <w:color w:val="000000"/>
                <w:kern w:val="0"/>
                <w:sz w:val="44"/>
                <w:szCs w:val="44"/>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9269"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25"/>
                <w:lang w:val="en-US" w:eastAsia="zh-CN" w:bidi="ar"/>
              </w:rPr>
              <w:t>（</w:t>
            </w:r>
            <w:r>
              <w:rPr>
                <w:rStyle w:val="26"/>
                <w:rFonts w:eastAsia="宋体"/>
                <w:lang w:val="en-US" w:eastAsia="zh-CN" w:bidi="ar"/>
              </w:rPr>
              <w:t xml:space="preserve">    2019</w:t>
            </w:r>
            <w:r>
              <w:rPr>
                <w:rStyle w:val="25"/>
                <w:lang w:val="en-US" w:eastAsia="zh-CN" w:bidi="ar"/>
              </w:rPr>
              <w:t>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项目名称</w:t>
            </w:r>
          </w:p>
        </w:tc>
        <w:tc>
          <w:tcPr>
            <w:tcW w:w="819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专项统计调查经费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主管部门</w:t>
            </w:r>
          </w:p>
        </w:tc>
        <w:tc>
          <w:tcPr>
            <w:tcW w:w="414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大厂回族自治县财政局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实施单位</w:t>
            </w:r>
          </w:p>
        </w:tc>
        <w:tc>
          <w:tcPr>
            <w:tcW w:w="29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大厂回族自治县统计局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6" w:hRule="atLeast"/>
        </w:trPr>
        <w:tc>
          <w:tcPr>
            <w:tcW w:w="10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25"/>
                <w:lang w:val="en-US" w:eastAsia="zh-CN" w:bidi="ar"/>
              </w:rPr>
              <w:t>项目资金</w:t>
            </w:r>
            <w:r>
              <w:rPr>
                <w:rStyle w:val="26"/>
                <w:rFonts w:eastAsia="宋体"/>
                <w:lang w:val="en-US" w:eastAsia="zh-CN" w:bidi="ar"/>
              </w:rPr>
              <w:t xml:space="preserve">           </w:t>
            </w:r>
            <w:r>
              <w:rPr>
                <w:rStyle w:val="25"/>
                <w:lang w:val="en-US" w:eastAsia="zh-CN" w:bidi="ar"/>
              </w:rPr>
              <w:t>（万元）</w:t>
            </w:r>
          </w:p>
        </w:tc>
        <w:tc>
          <w:tcPr>
            <w:tcW w:w="24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    预算数</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w:t>
            </w:r>
          </w:p>
        </w:tc>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分值</w:t>
            </w:r>
          </w:p>
        </w:tc>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执行率</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10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年度资金总额</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9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10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其中：当年财政拨款</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9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10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上年结转资金</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10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其他资金</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年度总体目标</w:t>
            </w:r>
          </w:p>
        </w:tc>
        <w:tc>
          <w:tcPr>
            <w:tcW w:w="469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预期目标</w:t>
            </w:r>
          </w:p>
        </w:tc>
        <w:tc>
          <w:tcPr>
            <w:tcW w:w="40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53"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469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过项目的开展，全面、准确、及时了解全国和各地区城乡居民收入、消费及其他生活状况，客观监测居民收入分配格局和不同收入层次居民的生活质量，更好地满足研究制定城乡统筹政策和民生政策的需要，为国民经济核算和居民消费价格指数权重制定提供基础数据。</w:t>
            </w:r>
          </w:p>
        </w:tc>
        <w:tc>
          <w:tcPr>
            <w:tcW w:w="40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过项目的开展，全面、准确、及时了解全国和各地区城乡居民收入、消费及其他生活状况，客观监测居民收入分配格局和不同收入层次居民的生活质量，更好地满足研究制定城乡统筹政策和民生政策的需要，为国民经济核算和居民消费价格指数权重制定提供基础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3" w:hRule="atLeast"/>
        </w:trPr>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     效     指     标</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一级指标</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二级指标</w:t>
            </w:r>
          </w:p>
        </w:tc>
        <w:tc>
          <w:tcPr>
            <w:tcW w:w="1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三级指标</w:t>
            </w:r>
          </w:p>
        </w:tc>
        <w:tc>
          <w:tcPr>
            <w:tcW w:w="14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w:t>
            </w:r>
          </w:p>
        </w:tc>
        <w:tc>
          <w:tcPr>
            <w:tcW w:w="14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分值</w:t>
            </w:r>
          </w:p>
        </w:tc>
        <w:tc>
          <w:tcPr>
            <w:tcW w:w="5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得分</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3"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产出指标</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数量指标</w:t>
            </w: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记账户数</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100</w:t>
            </w:r>
            <w:r>
              <w:rPr>
                <w:rStyle w:val="25"/>
                <w:lang w:val="en-US" w:eastAsia="zh-CN" w:bidi="ar"/>
              </w:rPr>
              <w:t>户</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100</w:t>
            </w:r>
            <w:r>
              <w:rPr>
                <w:rStyle w:val="25"/>
                <w:lang w:val="en-US" w:eastAsia="zh-CN" w:bidi="ar"/>
              </w:rPr>
              <w:t>户</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辅助调查员数</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10</w:t>
            </w:r>
            <w:r>
              <w:rPr>
                <w:rStyle w:val="25"/>
                <w:lang w:val="en-US" w:eastAsia="zh-CN" w:bidi="ar"/>
              </w:rPr>
              <w:t>人</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10</w:t>
            </w:r>
            <w:r>
              <w:rPr>
                <w:rStyle w:val="25"/>
                <w:lang w:val="en-US" w:eastAsia="zh-CN" w:bidi="ar"/>
              </w:rPr>
              <w:t>人</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流量卡数</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100</w:t>
            </w:r>
            <w:r>
              <w:rPr>
                <w:rStyle w:val="25"/>
                <w:lang w:val="en-US" w:eastAsia="zh-CN" w:bidi="ar"/>
              </w:rPr>
              <w:t>个</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100</w:t>
            </w:r>
            <w:r>
              <w:rPr>
                <w:rStyle w:val="25"/>
                <w:lang w:val="en-US" w:eastAsia="zh-CN" w:bidi="ar"/>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业务人数</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10</w:t>
            </w:r>
            <w:r>
              <w:rPr>
                <w:rStyle w:val="25"/>
                <w:lang w:val="en-US" w:eastAsia="zh-CN" w:bidi="ar"/>
              </w:rPr>
              <w:t>人</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10</w:t>
            </w:r>
            <w:r>
              <w:rPr>
                <w:rStyle w:val="25"/>
                <w:lang w:val="en-US" w:eastAsia="zh-CN" w:bidi="ar"/>
              </w:rPr>
              <w:t>人</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质量指标</w:t>
            </w: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补助标准</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100</w:t>
            </w:r>
            <w:r>
              <w:rPr>
                <w:rStyle w:val="25"/>
                <w:lang w:val="en-US" w:eastAsia="zh-CN" w:bidi="ar"/>
              </w:rPr>
              <w:t>元</w:t>
            </w:r>
            <w:r>
              <w:rPr>
                <w:rStyle w:val="26"/>
                <w:rFonts w:eastAsia="宋体"/>
                <w:lang w:val="en-US" w:eastAsia="zh-CN" w:bidi="ar"/>
              </w:rPr>
              <w:t>/</w:t>
            </w:r>
            <w:r>
              <w:rPr>
                <w:rStyle w:val="25"/>
                <w:lang w:val="en-US" w:eastAsia="zh-CN" w:bidi="ar"/>
              </w:rPr>
              <w:t>户月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100</w:t>
            </w:r>
            <w:r>
              <w:rPr>
                <w:rStyle w:val="25"/>
                <w:lang w:val="en-US" w:eastAsia="zh-CN" w:bidi="ar"/>
              </w:rPr>
              <w:t>元</w:t>
            </w:r>
            <w:r>
              <w:rPr>
                <w:rStyle w:val="26"/>
                <w:rFonts w:eastAsia="宋体"/>
                <w:lang w:val="en-US" w:eastAsia="zh-CN" w:bidi="ar"/>
              </w:rPr>
              <w:t>/</w:t>
            </w:r>
            <w:r>
              <w:rPr>
                <w:rStyle w:val="25"/>
                <w:lang w:val="en-US" w:eastAsia="zh-CN" w:bidi="ar"/>
              </w:rPr>
              <w:t>户月</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补助标准</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200</w:t>
            </w:r>
            <w:r>
              <w:rPr>
                <w:rStyle w:val="25"/>
                <w:lang w:val="en-US" w:eastAsia="zh-CN" w:bidi="ar"/>
              </w:rPr>
              <w:t>元</w:t>
            </w:r>
            <w:r>
              <w:rPr>
                <w:rStyle w:val="26"/>
                <w:rFonts w:eastAsia="宋体"/>
                <w:lang w:val="en-US" w:eastAsia="zh-CN" w:bidi="ar"/>
              </w:rPr>
              <w:t>/</w:t>
            </w:r>
            <w:r>
              <w:rPr>
                <w:rStyle w:val="25"/>
                <w:lang w:val="en-US" w:eastAsia="zh-CN" w:bidi="ar"/>
              </w:rPr>
              <w:t>人月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200</w:t>
            </w:r>
            <w:r>
              <w:rPr>
                <w:rStyle w:val="25"/>
                <w:lang w:val="en-US" w:eastAsia="zh-CN" w:bidi="ar"/>
              </w:rPr>
              <w:t>元</w:t>
            </w:r>
            <w:r>
              <w:rPr>
                <w:rStyle w:val="26"/>
                <w:rFonts w:eastAsia="宋体"/>
                <w:lang w:val="en-US" w:eastAsia="zh-CN" w:bidi="ar"/>
              </w:rPr>
              <w:t>/</w:t>
            </w:r>
            <w:r>
              <w:rPr>
                <w:rStyle w:val="25"/>
                <w:lang w:val="en-US" w:eastAsia="zh-CN" w:bidi="ar"/>
              </w:rPr>
              <w:t>人月</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流量卡套餐标准</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30</w:t>
            </w:r>
            <w:r>
              <w:rPr>
                <w:rStyle w:val="25"/>
                <w:lang w:val="en-US" w:eastAsia="zh-CN" w:bidi="ar"/>
              </w:rPr>
              <w:t>元</w:t>
            </w:r>
            <w:r>
              <w:rPr>
                <w:rStyle w:val="26"/>
                <w:rFonts w:eastAsia="宋体"/>
                <w:lang w:val="en-US" w:eastAsia="zh-CN" w:bidi="ar"/>
              </w:rPr>
              <w:t>/</w:t>
            </w:r>
            <w:r>
              <w:rPr>
                <w:rStyle w:val="25"/>
                <w:lang w:val="en-US" w:eastAsia="zh-CN" w:bidi="ar"/>
              </w:rPr>
              <w:t>台月</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30</w:t>
            </w:r>
            <w:r>
              <w:rPr>
                <w:rStyle w:val="25"/>
                <w:lang w:val="en-US" w:eastAsia="zh-CN" w:bidi="ar"/>
              </w:rPr>
              <w:t>元</w:t>
            </w:r>
            <w:r>
              <w:rPr>
                <w:rStyle w:val="26"/>
                <w:rFonts w:eastAsia="宋体"/>
                <w:lang w:val="en-US" w:eastAsia="zh-CN" w:bidi="ar"/>
              </w:rPr>
              <w:t>/</w:t>
            </w:r>
            <w:r>
              <w:rPr>
                <w:rStyle w:val="25"/>
                <w:lang w:val="en-US" w:eastAsia="zh-CN" w:bidi="ar"/>
              </w:rPr>
              <w:t>台月</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标准</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2000</w:t>
            </w:r>
            <w:r>
              <w:rPr>
                <w:rStyle w:val="25"/>
                <w:lang w:val="en-US" w:eastAsia="zh-CN" w:bidi="ar"/>
              </w:rPr>
              <w:t>元</w:t>
            </w:r>
            <w:r>
              <w:rPr>
                <w:rStyle w:val="26"/>
                <w:rFonts w:eastAsia="宋体"/>
                <w:lang w:val="en-US" w:eastAsia="zh-CN" w:bidi="ar"/>
              </w:rPr>
              <w:t>/</w:t>
            </w:r>
            <w:r>
              <w:rPr>
                <w:rStyle w:val="25"/>
                <w:lang w:val="en-US" w:eastAsia="zh-CN" w:bidi="ar"/>
              </w:rPr>
              <w:t>人年</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2000</w:t>
            </w:r>
            <w:r>
              <w:rPr>
                <w:rStyle w:val="25"/>
                <w:lang w:val="en-US" w:eastAsia="zh-CN" w:bidi="ar"/>
              </w:rPr>
              <w:t>元</w:t>
            </w:r>
            <w:r>
              <w:rPr>
                <w:rStyle w:val="26"/>
                <w:rFonts w:eastAsia="宋体"/>
                <w:lang w:val="en-US" w:eastAsia="zh-CN" w:bidi="ar"/>
              </w:rPr>
              <w:t>/</w:t>
            </w:r>
            <w:r>
              <w:rPr>
                <w:rStyle w:val="25"/>
                <w:lang w:val="en-US" w:eastAsia="zh-CN" w:bidi="ar"/>
              </w:rPr>
              <w:t>人年</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时效指标</w:t>
            </w: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发放时间</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每季度</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每季度</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成本指标</w:t>
            </w: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项目支出总成本</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20</w:t>
            </w:r>
            <w:r>
              <w:rPr>
                <w:rStyle w:val="25"/>
                <w:lang w:val="en-US" w:eastAsia="zh-CN" w:bidi="ar"/>
              </w:rPr>
              <w:t>万元</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6"/>
                <w:rFonts w:eastAsia="宋体"/>
                <w:lang w:val="en-US" w:eastAsia="zh-CN" w:bidi="ar"/>
              </w:rPr>
              <w:t>20</w:t>
            </w:r>
            <w:r>
              <w:rPr>
                <w:rStyle w:val="25"/>
                <w:lang w:val="en-US" w:eastAsia="zh-CN" w:bidi="ar"/>
              </w:rPr>
              <w:t>万元</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效益指标</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统计数据准确率</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服务对象满意度指标</w:t>
            </w: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综合满意度</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667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总分</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bl>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tbl>
      <w:tblPr>
        <w:tblStyle w:val="8"/>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0"/>
        <w:gridCol w:w="554"/>
        <w:gridCol w:w="1340"/>
        <w:gridCol w:w="344"/>
        <w:gridCol w:w="1246"/>
        <w:gridCol w:w="124"/>
        <w:gridCol w:w="731"/>
        <w:gridCol w:w="1120"/>
        <w:gridCol w:w="305"/>
        <w:gridCol w:w="550"/>
        <w:gridCol w:w="376"/>
        <w:gridCol w:w="549"/>
        <w:gridCol w:w="295"/>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4" w:hRule="atLeast"/>
        </w:trPr>
        <w:tc>
          <w:tcPr>
            <w:tcW w:w="9340"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4"/>
                <w:szCs w:val="44"/>
                <w:u w:val="none"/>
              </w:rPr>
            </w:pPr>
            <w:r>
              <w:rPr>
                <w:rFonts w:hint="default" w:ascii="Times New Roman" w:hAnsi="Times New Roman" w:eastAsia="宋体" w:cs="Times New Roman"/>
                <w:i w:val="0"/>
                <w:color w:val="000000"/>
                <w:kern w:val="0"/>
                <w:sz w:val="44"/>
                <w:szCs w:val="44"/>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9340" w:type="dxa"/>
            <w:gridSpan w:val="14"/>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Style w:val="27"/>
                <w:lang w:val="en-US" w:eastAsia="zh-CN" w:bidi="ar"/>
              </w:rPr>
              <w:t>（</w:t>
            </w:r>
            <w:r>
              <w:rPr>
                <w:rStyle w:val="28"/>
                <w:rFonts w:eastAsia="宋体"/>
                <w:lang w:val="en-US" w:eastAsia="zh-CN" w:bidi="ar"/>
              </w:rPr>
              <w:t xml:space="preserve">    2019</w:t>
            </w:r>
            <w:r>
              <w:rPr>
                <w:rStyle w:val="27"/>
                <w:lang w:val="en-US" w:eastAsia="zh-CN" w:bidi="ar"/>
              </w:rPr>
              <w:t>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项目名称</w:t>
            </w:r>
          </w:p>
        </w:tc>
        <w:tc>
          <w:tcPr>
            <w:tcW w:w="8056"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第四次全国经济普查经费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主管部门</w:t>
            </w:r>
          </w:p>
        </w:tc>
        <w:tc>
          <w:tcPr>
            <w:tcW w:w="3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大厂回族自治县财政局</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实施单位</w:t>
            </w:r>
          </w:p>
        </w:tc>
        <w:tc>
          <w:tcPr>
            <w:tcW w:w="284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大厂回族自治县统计局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27"/>
                <w:lang w:val="en-US" w:eastAsia="zh-CN" w:bidi="ar"/>
              </w:rPr>
              <w:t>项目资金</w:t>
            </w:r>
            <w:r>
              <w:rPr>
                <w:rStyle w:val="28"/>
                <w:rFonts w:eastAsia="宋体"/>
                <w:lang w:val="en-US" w:eastAsia="zh-CN" w:bidi="ar"/>
              </w:rPr>
              <w:t xml:space="preserve">           </w:t>
            </w:r>
            <w:r>
              <w:rPr>
                <w:rStyle w:val="27"/>
                <w:lang w:val="en-US" w:eastAsia="zh-CN" w:bidi="ar"/>
              </w:rPr>
              <w:t>（万元）</w:t>
            </w:r>
          </w:p>
        </w:tc>
        <w:tc>
          <w:tcPr>
            <w:tcW w:w="16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8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    预算数</w:t>
            </w:r>
          </w:p>
        </w:tc>
        <w:tc>
          <w:tcPr>
            <w:tcW w:w="14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w:t>
            </w:r>
          </w:p>
        </w:tc>
        <w:tc>
          <w:tcPr>
            <w:tcW w:w="9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分值</w:t>
            </w:r>
          </w:p>
        </w:tc>
        <w:tc>
          <w:tcPr>
            <w:tcW w:w="8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执行率</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年度资金总额</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19.9</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8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99.5%</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其中：当年财政拨款</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19.9</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8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99.5%</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上年结转资金</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8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其他资金</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8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年度总体目标</w:t>
            </w:r>
          </w:p>
        </w:tc>
        <w:tc>
          <w:tcPr>
            <w:tcW w:w="43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预期目标</w:t>
            </w:r>
          </w:p>
        </w:tc>
        <w:tc>
          <w:tcPr>
            <w:tcW w:w="427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7"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43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组织完成国家部署的国情国力普查及重要调查任务，研究提出重大县情县力普查和抽样调查计划并组织实施，汇总、整理和提供有关县情县力方面的统计数据。</w:t>
            </w:r>
          </w:p>
        </w:tc>
        <w:tc>
          <w:tcPr>
            <w:tcW w:w="427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组织完成国家部署的国情国力普查及重要调查任务，研究提出重大县情县力普查和抽样调查计划并组织实施，汇总、整理和提供有关县情县力方面的统计数据。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     效     指     标</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一级指标</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二级指标</w:t>
            </w:r>
          </w:p>
        </w:tc>
        <w:tc>
          <w:tcPr>
            <w:tcW w:w="171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三级指标</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w:t>
            </w:r>
          </w:p>
        </w:tc>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w:t>
            </w:r>
          </w:p>
        </w:tc>
        <w:tc>
          <w:tcPr>
            <w:tcW w:w="8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分值</w:t>
            </w:r>
          </w:p>
        </w:tc>
        <w:tc>
          <w:tcPr>
            <w:tcW w:w="9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得分</w:t>
            </w:r>
          </w:p>
        </w:tc>
        <w:tc>
          <w:tcPr>
            <w:tcW w:w="13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产出指标</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数量指标</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普查个体户数</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8200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8200</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普查单位个数</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4450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4450</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质量指标</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普查统计完成率</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时效指标</w:t>
            </w:r>
          </w:p>
        </w:tc>
        <w:tc>
          <w:tcPr>
            <w:tcW w:w="1714" w:type="dxa"/>
            <w:gridSpan w:val="3"/>
            <w:tcBorders>
              <w:top w:val="single" w:color="000000" w:sz="4" w:space="0"/>
              <w:left w:val="single" w:color="000000" w:sz="4" w:space="0"/>
              <w:bottom w:val="single" w:color="000000" w:sz="4" w:space="0"/>
              <w:right w:val="single" w:color="FF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完成时间</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8"/>
                <w:rFonts w:eastAsia="宋体"/>
                <w:lang w:val="en-US" w:eastAsia="zh-CN" w:bidi="ar"/>
              </w:rPr>
              <w:t>12</w:t>
            </w:r>
            <w:r>
              <w:rPr>
                <w:rStyle w:val="27"/>
                <w:lang w:val="en-US" w:eastAsia="zh-CN" w:bidi="ar"/>
              </w:rPr>
              <w:t>月份</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8"/>
                <w:rFonts w:eastAsia="宋体"/>
                <w:lang w:val="en-US" w:eastAsia="zh-CN" w:bidi="ar"/>
              </w:rPr>
              <w:t>12</w:t>
            </w:r>
            <w:r>
              <w:rPr>
                <w:rStyle w:val="27"/>
                <w:lang w:val="en-US" w:eastAsia="zh-CN" w:bidi="ar"/>
              </w:rPr>
              <w:t>月份</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exac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成本指标</w:t>
            </w:r>
          </w:p>
        </w:tc>
        <w:tc>
          <w:tcPr>
            <w:tcW w:w="1714" w:type="dxa"/>
            <w:gridSpan w:val="3"/>
            <w:tcBorders>
              <w:top w:val="single" w:color="000000" w:sz="4" w:space="0"/>
              <w:left w:val="single" w:color="000000" w:sz="4" w:space="0"/>
              <w:bottom w:val="single" w:color="000000" w:sz="4" w:space="0"/>
              <w:right w:val="single" w:color="FF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总成本</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8"/>
                <w:rFonts w:eastAsia="宋体"/>
                <w:lang w:val="en-US" w:eastAsia="zh-CN" w:bidi="ar"/>
              </w:rPr>
              <w:t>20</w:t>
            </w:r>
            <w:r>
              <w:rPr>
                <w:rStyle w:val="27"/>
                <w:lang w:val="en-US" w:eastAsia="zh-CN" w:bidi="ar"/>
              </w:rPr>
              <w:t>万元</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28"/>
                <w:rFonts w:eastAsia="宋体"/>
                <w:lang w:val="en-US" w:eastAsia="zh-CN" w:bidi="ar"/>
              </w:rPr>
              <w:t>19.9</w:t>
            </w:r>
            <w:r>
              <w:rPr>
                <w:rStyle w:val="27"/>
                <w:lang w:val="en-US" w:eastAsia="zh-CN" w:bidi="ar"/>
              </w:rPr>
              <w:t>万元</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9.95</w:t>
            </w: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接待人次没有预想的多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效益指标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1714" w:type="dxa"/>
            <w:gridSpan w:val="3"/>
            <w:tcBorders>
              <w:top w:val="single" w:color="000000" w:sz="4" w:space="0"/>
              <w:left w:val="single" w:color="000000" w:sz="4" w:space="0"/>
              <w:bottom w:val="single" w:color="000000" w:sz="4" w:space="0"/>
              <w:right w:val="single" w:color="FF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准确率</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≥98%</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≥98%</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服务对象满意度指标</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综合满意度</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≥95%</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618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总分</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99.9</w:t>
            </w: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bl>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tbl>
      <w:tblPr>
        <w:tblStyle w:val="8"/>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5"/>
        <w:gridCol w:w="541"/>
        <w:gridCol w:w="1355"/>
        <w:gridCol w:w="296"/>
        <w:gridCol w:w="1196"/>
        <w:gridCol w:w="184"/>
        <w:gridCol w:w="652"/>
        <w:gridCol w:w="887"/>
        <w:gridCol w:w="307"/>
        <w:gridCol w:w="394"/>
        <w:gridCol w:w="368"/>
        <w:gridCol w:w="499"/>
        <w:gridCol w:w="228"/>
        <w:gridCol w:w="1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5" w:hRule="atLeast"/>
        </w:trPr>
        <w:tc>
          <w:tcPr>
            <w:tcW w:w="9300"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4"/>
                <w:szCs w:val="44"/>
                <w:u w:val="none"/>
              </w:rPr>
            </w:pPr>
            <w:r>
              <w:rPr>
                <w:rFonts w:hint="default" w:ascii="Times New Roman" w:hAnsi="Times New Roman" w:eastAsia="宋体" w:cs="Times New Roman"/>
                <w:i w:val="0"/>
                <w:color w:val="000000"/>
                <w:kern w:val="0"/>
                <w:sz w:val="44"/>
                <w:szCs w:val="44"/>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1" w:hRule="atLeast"/>
        </w:trPr>
        <w:tc>
          <w:tcPr>
            <w:tcW w:w="9300"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 xml:space="preserve">    2019</w:t>
            </w:r>
            <w:r>
              <w:rPr>
                <w:rFonts w:hint="eastAsia" w:ascii="宋体" w:hAnsi="宋体" w:eastAsia="宋体" w:cs="宋体"/>
                <w:i w:val="0"/>
                <w:color w:val="000000"/>
                <w:kern w:val="0"/>
                <w:sz w:val="24"/>
                <w:szCs w:val="24"/>
                <w:u w:val="none"/>
                <w:lang w:val="en-US" w:eastAsia="zh-CN" w:bidi="ar"/>
              </w:rPr>
              <w:t>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项目名称</w:t>
            </w:r>
          </w:p>
        </w:tc>
        <w:tc>
          <w:tcPr>
            <w:tcW w:w="804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政府向社会购买服务专项经费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主管部门</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大厂回族自治县财政局</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实施单位</w:t>
            </w:r>
          </w:p>
        </w:tc>
        <w:tc>
          <w:tcPr>
            <w:tcW w:w="316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大厂回族自治县统计局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（万元）</w:t>
            </w:r>
          </w:p>
        </w:tc>
        <w:tc>
          <w:tcPr>
            <w:tcW w:w="16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    预算数</w:t>
            </w:r>
          </w:p>
        </w:tc>
        <w:tc>
          <w:tcPr>
            <w:tcW w:w="11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       执行数</w:t>
            </w:r>
          </w:p>
        </w:tc>
        <w:tc>
          <w:tcPr>
            <w:tcW w:w="7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分值</w:t>
            </w:r>
          </w:p>
        </w:tc>
        <w:tc>
          <w:tcPr>
            <w:tcW w:w="7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执行率</w:t>
            </w:r>
          </w:p>
        </w:tc>
        <w:tc>
          <w:tcPr>
            <w:tcW w:w="1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年度资金总额</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3.91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78.2%</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其中：当年财政拨款</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3.91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78.2%</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上年结转资金</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12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其他资金</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年度总体目标</w:t>
            </w:r>
          </w:p>
        </w:tc>
        <w:tc>
          <w:tcPr>
            <w:tcW w:w="422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预期目标</w:t>
            </w:r>
          </w:p>
        </w:tc>
        <w:tc>
          <w:tcPr>
            <w:tcW w:w="436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2" w:hRule="exac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422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通过购买服务人员，更好地完成办公室计算机网络程序工作。</w:t>
            </w:r>
          </w:p>
        </w:tc>
        <w:tc>
          <w:tcPr>
            <w:tcW w:w="436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通过购买服务人员，更好地完成办公室计算机网络程序工作。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     效     指     标</w:t>
            </w: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一级指标</w:t>
            </w: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二级指标</w:t>
            </w:r>
          </w:p>
        </w:tc>
        <w:tc>
          <w:tcPr>
            <w:tcW w:w="14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三级指标</w:t>
            </w:r>
          </w:p>
        </w:tc>
        <w:tc>
          <w:tcPr>
            <w:tcW w:w="8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w:t>
            </w:r>
          </w:p>
        </w:tc>
        <w:tc>
          <w:tcPr>
            <w:tcW w:w="7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分值</w:t>
            </w:r>
          </w:p>
        </w:tc>
        <w:tc>
          <w:tcPr>
            <w:tcW w:w="8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得分</w:t>
            </w:r>
          </w:p>
        </w:tc>
        <w:tc>
          <w:tcPr>
            <w:tcW w:w="19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产出指标</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数量指标</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人数</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人</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人</w:t>
            </w:r>
          </w:p>
        </w:tc>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质量指标</w:t>
            </w:r>
          </w:p>
        </w:tc>
        <w:tc>
          <w:tcPr>
            <w:tcW w:w="149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出勤率</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时效指标</w:t>
            </w:r>
          </w:p>
        </w:tc>
        <w:tc>
          <w:tcPr>
            <w:tcW w:w="149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支付时间</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r>
              <w:rPr>
                <w:rFonts w:hint="eastAsia" w:ascii="宋体" w:hAnsi="宋体" w:eastAsia="宋体" w:cs="宋体"/>
                <w:i w:val="0"/>
                <w:color w:val="000000"/>
                <w:kern w:val="0"/>
                <w:sz w:val="24"/>
                <w:szCs w:val="24"/>
                <w:u w:val="none"/>
                <w:lang w:val="en-US" w:eastAsia="zh-CN" w:bidi="ar"/>
              </w:rPr>
              <w:t>月份</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r>
              <w:rPr>
                <w:rFonts w:hint="eastAsia" w:ascii="宋体" w:hAnsi="宋体" w:eastAsia="宋体" w:cs="宋体"/>
                <w:i w:val="0"/>
                <w:color w:val="000000"/>
                <w:kern w:val="0"/>
                <w:sz w:val="24"/>
                <w:szCs w:val="24"/>
                <w:u w:val="none"/>
                <w:lang w:val="en-US" w:eastAsia="zh-CN" w:bidi="ar"/>
              </w:rPr>
              <w:t>月份</w:t>
            </w:r>
          </w:p>
        </w:tc>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2" w:hRule="exac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成本指标</w:t>
            </w:r>
          </w:p>
        </w:tc>
        <w:tc>
          <w:tcPr>
            <w:tcW w:w="149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总成本</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万元</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3.91</w:t>
            </w:r>
            <w:r>
              <w:rPr>
                <w:rFonts w:hint="eastAsia" w:ascii="宋体" w:hAnsi="宋体" w:eastAsia="宋体" w:cs="宋体"/>
                <w:i w:val="0"/>
                <w:color w:val="000000"/>
                <w:kern w:val="0"/>
                <w:sz w:val="24"/>
                <w:szCs w:val="24"/>
                <w:u w:val="none"/>
                <w:lang w:val="en-US" w:eastAsia="zh-CN" w:bidi="ar"/>
              </w:rPr>
              <w:t>万元</w:t>
            </w:r>
          </w:p>
        </w:tc>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7.82</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保险基数、比例调整没有预想的高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效益指标</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149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149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天数</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250</w:t>
            </w:r>
            <w:r>
              <w:rPr>
                <w:rFonts w:hint="eastAsia" w:ascii="宋体" w:hAnsi="宋体" w:eastAsia="宋体" w:cs="宋体"/>
                <w:i w:val="0"/>
                <w:color w:val="000000"/>
                <w:kern w:val="0"/>
                <w:sz w:val="24"/>
                <w:szCs w:val="24"/>
                <w:u w:val="none"/>
                <w:lang w:val="en-US" w:eastAsia="zh-CN" w:bidi="ar"/>
              </w:rPr>
              <w:t>天</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250</w:t>
            </w:r>
            <w:r>
              <w:rPr>
                <w:rFonts w:hint="eastAsia" w:ascii="宋体" w:hAnsi="宋体" w:eastAsia="宋体" w:cs="宋体"/>
                <w:i w:val="0"/>
                <w:color w:val="000000"/>
                <w:kern w:val="0"/>
                <w:sz w:val="24"/>
                <w:szCs w:val="24"/>
                <w:u w:val="none"/>
                <w:lang w:val="en-US" w:eastAsia="zh-CN" w:bidi="ar"/>
              </w:rPr>
              <w:t>天</w:t>
            </w:r>
          </w:p>
        </w:tc>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149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服务对象满意度指标</w:t>
            </w:r>
          </w:p>
        </w:tc>
        <w:tc>
          <w:tcPr>
            <w:tcW w:w="149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综合满意度</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≥95%</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≥95%</w:t>
            </w:r>
          </w:p>
        </w:tc>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582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总分</w:t>
            </w:r>
          </w:p>
        </w:tc>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95.64</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bl>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tbl>
      <w:tblPr>
        <w:tblStyle w:val="8"/>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67" w:hRule="exact"/>
        </w:trPr>
        <w:tc>
          <w:tcPr>
            <w:tcW w:w="940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940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32"/>
                <w:szCs w:val="32"/>
                <w:u w:val="none"/>
              </w:rPr>
            </w:pPr>
          </w:p>
        </w:tc>
      </w:tr>
    </w:tbl>
    <w:p>
      <w:pPr>
        <w:widowControl/>
        <w:jc w:val="left"/>
        <w:rPr>
          <w:rFonts w:ascii="Times New Roman" w:hAnsi="Times New Roman" w:cs="Times New Roman"/>
          <w:color w:val="000000" w:themeColor="text1"/>
          <w14:textFill>
            <w14:solidFill>
              <w14:schemeClr w14:val="tx1"/>
            </w14:solidFill>
          </w14:textFill>
        </w:rPr>
        <w:sectPr>
          <w:headerReference r:id="rId24" w:type="default"/>
          <w:pgSz w:w="11906" w:h="16838"/>
          <w:pgMar w:top="1701" w:right="1417" w:bottom="1281" w:left="1417" w:header="851" w:footer="992" w:gutter="0"/>
          <w:pgNumType w:fmt="numberInDash"/>
          <w:cols w:space="0" w:num="1"/>
          <w:docGrid w:type="lines" w:linePitch="312" w:charSpace="0"/>
        </w:sectPr>
      </w:pPr>
    </w:p>
    <w:tbl>
      <w:tblPr>
        <w:tblStyle w:val="8"/>
        <w:tblW w:w="13902" w:type="dxa"/>
        <w:tblInd w:w="0" w:type="dxa"/>
        <w:tblLayout w:type="fixed"/>
        <w:tblCellMar>
          <w:top w:w="0" w:type="dxa"/>
          <w:left w:w="0" w:type="dxa"/>
          <w:bottom w:w="0" w:type="dxa"/>
          <w:right w:w="0" w:type="dxa"/>
        </w:tblCellMar>
      </w:tblPr>
      <w:tblGrid>
        <w:gridCol w:w="1004"/>
        <w:gridCol w:w="1048"/>
        <w:gridCol w:w="666"/>
        <w:gridCol w:w="1522"/>
        <w:gridCol w:w="1395"/>
        <w:gridCol w:w="2055"/>
        <w:gridCol w:w="1082"/>
        <w:gridCol w:w="1884"/>
        <w:gridCol w:w="1714"/>
        <w:gridCol w:w="1532"/>
      </w:tblGrid>
      <w:tr>
        <w:tblPrEx>
          <w:tblLayout w:type="fixed"/>
          <w:tblCellMar>
            <w:top w:w="0" w:type="dxa"/>
            <w:left w:w="0" w:type="dxa"/>
            <w:bottom w:w="0" w:type="dxa"/>
            <w:right w:w="0" w:type="dxa"/>
          </w:tblCellMar>
        </w:tblPrEx>
        <w:trPr>
          <w:trHeight w:val="873" w:hRule="atLeast"/>
        </w:trPr>
        <w:tc>
          <w:tcPr>
            <w:tcW w:w="13902" w:type="dxa"/>
            <w:gridSpan w:val="10"/>
            <w:tcBorders>
              <w:top w:val="nil"/>
              <w:left w:val="nil"/>
              <w:bottom w:val="nil"/>
              <w:right w:val="nil"/>
            </w:tcBorders>
            <w:shd w:val="clear" w:color="auto" w:fill="auto"/>
            <w:noWrap/>
            <w:tcMar>
              <w:top w:w="10" w:type="dxa"/>
              <w:left w:w="10" w:type="dxa"/>
              <w:right w:w="10" w:type="dxa"/>
            </w:tcMar>
            <w:vAlign w:val="center"/>
          </w:tcPr>
          <w:p>
            <w:pPr>
              <w:spacing w:line="584" w:lineRule="exact"/>
              <w:jc w:val="center"/>
              <w:rPr>
                <w:rStyle w:val="15"/>
                <w:rFonts w:ascii="Times New Roman" w:hAnsi="Times New Roman" w:eastAsia="方正小标宋简体" w:cs="Times New Roman"/>
                <w:sz w:val="44"/>
                <w:szCs w:val="44"/>
              </w:rPr>
            </w:pPr>
            <w:r>
              <w:rPr>
                <w:rFonts w:ascii="Times New Roman" w:hAnsi="Times New Roman" w:eastAsia="仿宋_GB2312" w:cs="Times New Roman"/>
                <w:b/>
                <w:bCs/>
                <w:sz w:val="32"/>
                <w:szCs w:val="32"/>
              </w:rPr>
              <w:br w:type="page"/>
            </w:r>
            <w:r>
              <w:rPr>
                <w:rStyle w:val="15"/>
                <w:rFonts w:ascii="Times New Roman" w:hAnsi="Times New Roman" w:eastAsia="方正小标宋简体" w:cs="Times New Roman"/>
                <w:sz w:val="44"/>
                <w:szCs w:val="44"/>
              </w:rPr>
              <w:t>部门（单位）整体绩效自评表</w:t>
            </w:r>
          </w:p>
          <w:p>
            <w:pPr>
              <w:spacing w:line="584" w:lineRule="exact"/>
              <w:jc w:val="center"/>
              <w:rPr>
                <w:rFonts w:ascii="Times New Roman" w:hAnsi="Times New Roman" w:eastAsia="等线" w:cs="Times New Roman"/>
                <w:color w:val="000000"/>
                <w:sz w:val="28"/>
                <w:szCs w:val="28"/>
              </w:rPr>
            </w:pP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2019</w:t>
            </w:r>
            <w:r>
              <w:rPr>
                <w:rFonts w:ascii="Times New Roman" w:hAnsi="Times New Roman" w:eastAsia="仿宋_GB2312" w:cs="Times New Roman"/>
                <w:color w:val="000000"/>
                <w:sz w:val="28"/>
                <w:szCs w:val="28"/>
              </w:rPr>
              <w:t xml:space="preserve"> 年度）</w:t>
            </w:r>
          </w:p>
        </w:tc>
      </w:tr>
      <w:tr>
        <w:tblPrEx>
          <w:tblLayout w:type="fixed"/>
          <w:tblCellMar>
            <w:top w:w="0" w:type="dxa"/>
            <w:left w:w="0" w:type="dxa"/>
            <w:bottom w:w="0" w:type="dxa"/>
            <w:right w:w="0" w:type="dxa"/>
          </w:tblCellMar>
        </w:tblPrEx>
        <w:trPr>
          <w:trHeight w:val="355" w:hRule="atLeast"/>
        </w:trPr>
        <w:tc>
          <w:tcPr>
            <w:tcW w:w="424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ind w:firstLine="360" w:firstLineChars="200"/>
              <w:jc w:val="both"/>
              <w:textAlignment w:val="center"/>
              <w:rPr>
                <w:rFonts w:hint="eastAsia" w:ascii="Times New Roman" w:hAnsi="Times New Roman" w:eastAsia="等线" w:cs="Times New Roman"/>
                <w:color w:val="000000"/>
                <w:sz w:val="18"/>
                <w:szCs w:val="18"/>
                <w:lang w:eastAsia="zh-CN"/>
              </w:rPr>
            </w:pPr>
            <w:r>
              <w:rPr>
                <w:rStyle w:val="19"/>
                <w:rFonts w:hint="eastAsia" w:ascii="Times New Roman" w:hAnsi="Times New Roman" w:eastAsia="等线" w:cs="Times New Roman"/>
                <w:lang w:val="en-US" w:eastAsia="zh-CN"/>
              </w:rPr>
              <w:t>大厂回族自治县统计局</w:t>
            </w:r>
          </w:p>
        </w:tc>
        <w:tc>
          <w:tcPr>
            <w:tcW w:w="9662"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Layout w:type="fixed"/>
          <w:tblCellMar>
            <w:top w:w="0" w:type="dxa"/>
            <w:left w:w="0" w:type="dxa"/>
            <w:bottom w:w="0" w:type="dxa"/>
            <w:right w:w="0" w:type="dxa"/>
          </w:tblCellMar>
        </w:tblPrEx>
        <w:trPr>
          <w:trHeight w:val="690"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年度主要任务</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重点工作任务名称</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重点工作任务完成情况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拟对应安排的重点项目</w:t>
            </w:r>
            <w:r>
              <w:rPr>
                <w:rStyle w:val="20"/>
                <w:rFonts w:eastAsia="宋体"/>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项目完成情况</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预算数</w:t>
            </w:r>
            <w:r>
              <w:rPr>
                <w:rStyle w:val="20"/>
                <w:rFonts w:eastAsia="等线"/>
              </w:rPr>
              <w:br w:type="textWrapping"/>
            </w:r>
            <w:r>
              <w:rPr>
                <w:rStyle w:val="19"/>
                <w:rFonts w:ascii="Times New Roman" w:hAnsi="Times New Roman" w:cs="Times New Roman"/>
              </w:rPr>
              <w:t>（万元）</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其中：财政拨款</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执行数</w:t>
            </w:r>
            <w:r>
              <w:rPr>
                <w:rStyle w:val="20"/>
                <w:rFonts w:eastAsia="等线"/>
              </w:rPr>
              <w:br w:type="textWrapping"/>
            </w:r>
            <w:r>
              <w:rPr>
                <w:rStyle w:val="19"/>
                <w:rFonts w:ascii="Times New Roman" w:hAnsi="Times New Roman" w:cs="Times New Roman"/>
              </w:rPr>
              <w:t>（万元）</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其中：财政拨款</w:t>
            </w:r>
          </w:p>
        </w:tc>
      </w:tr>
      <w:tr>
        <w:tblPrEx>
          <w:tblLayout w:type="fixed"/>
          <w:tblCellMar>
            <w:top w:w="0" w:type="dxa"/>
            <w:left w:w="0" w:type="dxa"/>
            <w:bottom w:w="0" w:type="dxa"/>
            <w:right w:w="0" w:type="dxa"/>
          </w:tblCellMar>
        </w:tblPrEx>
        <w:trPr>
          <w:trHeight w:val="115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eastAsia" w:ascii="Times New Roman" w:hAnsi="Times New Roman" w:eastAsia="等线" w:cs="Times New Roman"/>
                <w:color w:val="000000"/>
                <w:sz w:val="18"/>
                <w:szCs w:val="18"/>
                <w:lang w:eastAsia="zh-CN"/>
              </w:rPr>
            </w:pPr>
            <w:r>
              <w:rPr>
                <w:rStyle w:val="19"/>
                <w:rFonts w:hint="eastAsia" w:ascii="Times New Roman" w:hAnsi="Times New Roman" w:eastAsia="等线" w:cs="Times New Roman"/>
                <w:lang w:eastAsia="zh-CN"/>
              </w:rPr>
              <w:t>专项统计调查</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eastAsia" w:ascii="Times New Roman" w:hAnsi="Times New Roman" w:eastAsia="等线" w:cs="Times New Roman"/>
                <w:color w:val="000000"/>
                <w:sz w:val="18"/>
                <w:szCs w:val="18"/>
                <w:lang w:eastAsia="zh-CN"/>
              </w:rPr>
            </w:pPr>
            <w:r>
              <w:rPr>
                <w:rStyle w:val="19"/>
                <w:rFonts w:hint="eastAsia" w:ascii="Times New Roman" w:hAnsi="Times New Roman" w:eastAsia="等线" w:cs="Times New Roman"/>
                <w:lang w:eastAsia="zh-CN"/>
              </w:rPr>
              <w:t>通过项目的开展，全面、准确、及时了解全国和各地区城乡居民收入、消费及其他生活状况，客观监测居民收入分配格局和不同收入层次居民的生活质量，更好地满足研究制定城乡统筹政策和民生政策的需要，为国民经济核算和居民消费价格指数权重制定提供基础数据。</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eastAsia" w:ascii="Times New Roman" w:hAnsi="Times New Roman" w:cs="Times New Roman" w:eastAsiaTheme="minorEastAsia"/>
                <w:color w:val="000000"/>
                <w:sz w:val="18"/>
                <w:szCs w:val="18"/>
                <w:lang w:eastAsia="zh-CN"/>
              </w:rPr>
            </w:pPr>
            <w:r>
              <w:rPr>
                <w:rFonts w:hint="eastAsia" w:ascii="Times New Roman" w:hAnsi="Times New Roman" w:eastAsia="宋体" w:cs="Times New Roman"/>
                <w:color w:val="000000"/>
                <w:kern w:val="0"/>
                <w:sz w:val="18"/>
                <w:szCs w:val="18"/>
                <w:lang w:eastAsia="zh-CN"/>
              </w:rPr>
              <w:t>专项统计调查经费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eastAsia="等线" w:cs="Times New Roman"/>
                <w:color w:val="000000"/>
                <w:sz w:val="18"/>
                <w:szCs w:val="18"/>
                <w:lang w:eastAsia="zh-CN"/>
              </w:rPr>
            </w:pPr>
            <w:r>
              <w:rPr>
                <w:rFonts w:hint="eastAsia" w:ascii="Times New Roman" w:hAnsi="Times New Roman" w:eastAsia="等线" w:cs="Times New Roman"/>
                <w:color w:val="000000"/>
                <w:sz w:val="18"/>
                <w:szCs w:val="18"/>
                <w:lang w:eastAsia="zh-CN"/>
              </w:rPr>
              <w:t>按要求完成各项任务</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20</w:t>
            </w:r>
          </w:p>
        </w:tc>
      </w:tr>
      <w:tr>
        <w:tblPrEx>
          <w:tblLayout w:type="fixed"/>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Times New Roman" w:hAnsi="Times New Roman" w:eastAsia="等线" w:cs="Times New Roman"/>
                <w:color w:val="000000"/>
                <w:sz w:val="18"/>
                <w:szCs w:val="18"/>
                <w:lang w:eastAsia="zh-CN"/>
              </w:rPr>
            </w:pPr>
            <w:r>
              <w:rPr>
                <w:rFonts w:hint="eastAsia" w:ascii="Times New Roman" w:hAnsi="Times New Roman" w:eastAsia="等线" w:cs="Times New Roman"/>
                <w:color w:val="000000"/>
                <w:kern w:val="0"/>
                <w:sz w:val="18"/>
                <w:szCs w:val="18"/>
                <w:lang w:eastAsia="zh-CN"/>
              </w:rPr>
              <w:t>第四次全国经济普查</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Times New Roman" w:hAnsi="Times New Roman" w:eastAsia="等线" w:cs="Times New Roman"/>
                <w:color w:val="000000"/>
                <w:sz w:val="18"/>
                <w:szCs w:val="18"/>
                <w:lang w:eastAsia="zh-CN"/>
              </w:rPr>
            </w:pPr>
            <w:r>
              <w:rPr>
                <w:rFonts w:hint="eastAsia" w:ascii="Times New Roman" w:hAnsi="Times New Roman" w:eastAsia="等线" w:cs="Times New Roman"/>
                <w:color w:val="000000"/>
                <w:kern w:val="0"/>
                <w:sz w:val="18"/>
                <w:szCs w:val="18"/>
                <w:lang w:eastAsia="zh-CN"/>
              </w:rPr>
              <w:t>组织完成国家部署的国情国力普查及重要调查任务，研究提出重大县情县力普查和抽样调查计划并组织实施，汇总、整理和提供有关县情县力方面的统计数据。</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eastAsia="等线" w:cs="Times New Roman"/>
                <w:color w:val="000000"/>
                <w:sz w:val="18"/>
                <w:szCs w:val="18"/>
                <w:lang w:eastAsia="zh-CN"/>
              </w:rPr>
            </w:pPr>
            <w:r>
              <w:rPr>
                <w:rFonts w:hint="eastAsia" w:ascii="Times New Roman" w:hAnsi="Times New Roman" w:eastAsia="等线" w:cs="Times New Roman"/>
                <w:color w:val="000000"/>
                <w:sz w:val="18"/>
                <w:szCs w:val="18"/>
                <w:lang w:eastAsia="zh-CN"/>
              </w:rPr>
              <w:t>第四次全国经济普查经费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eastAsia="zh-CN"/>
              </w:rPr>
              <w:t>按要求完成各项任务</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19.9</w:t>
            </w:r>
          </w:p>
        </w:tc>
      </w:tr>
      <w:tr>
        <w:tblPrEx>
          <w:tblLayout w:type="fixed"/>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cs="Times New Roman" w:eastAsiaTheme="minorEastAsia"/>
                <w:lang w:val="en-US" w:eastAsia="zh-CN"/>
              </w:rPr>
            </w:pPr>
            <w:r>
              <w:rPr>
                <w:rFonts w:hint="eastAsia" w:ascii="Times New Roman" w:hAnsi="Times New Roman" w:eastAsia="等线" w:cs="Times New Roman"/>
                <w:color w:val="000000"/>
                <w:kern w:val="0"/>
                <w:sz w:val="18"/>
                <w:szCs w:val="18"/>
                <w:lang w:val="en-US" w:eastAsia="zh-CN"/>
              </w:rPr>
              <w:t>政府向社会购买服务</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cs="Times New Roman" w:eastAsiaTheme="minorEastAsia"/>
                <w:lang w:val="en-US" w:eastAsia="zh-CN"/>
              </w:rPr>
            </w:pPr>
            <w:r>
              <w:rPr>
                <w:rFonts w:hint="eastAsia" w:ascii="Times New Roman" w:hAnsi="Times New Roman" w:eastAsia="等线" w:cs="Times New Roman"/>
                <w:color w:val="000000"/>
                <w:kern w:val="0"/>
                <w:sz w:val="18"/>
                <w:szCs w:val="18"/>
                <w:lang w:val="en-US" w:eastAsia="zh-CN"/>
              </w:rPr>
              <w:t>通过购买服务人员，更好地完成办公室计算机网络程序工作。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政府向社会购买服务专项经费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eastAsia="等线" w:cs="Times New Roman"/>
                <w:color w:val="000000"/>
                <w:sz w:val="18"/>
                <w:szCs w:val="18"/>
                <w:lang w:eastAsia="zh-CN"/>
              </w:rPr>
            </w:pPr>
            <w:r>
              <w:rPr>
                <w:rFonts w:hint="eastAsia" w:ascii="Times New Roman" w:hAnsi="Times New Roman" w:eastAsia="等线" w:cs="Times New Roman"/>
                <w:color w:val="000000"/>
                <w:sz w:val="18"/>
                <w:szCs w:val="18"/>
                <w:lang w:eastAsia="zh-CN"/>
              </w:rPr>
              <w:t>按要求完成各项任务</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3.91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3.91</w:t>
            </w:r>
          </w:p>
        </w:tc>
      </w:tr>
      <w:tr>
        <w:tblPrEx>
          <w:tblLayout w:type="fixed"/>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668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金额合计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43.81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43.81</w:t>
            </w:r>
          </w:p>
        </w:tc>
      </w:tr>
      <w:tr>
        <w:tblPrEx>
          <w:tblLayout w:type="fixed"/>
          <w:tblCellMar>
            <w:top w:w="0" w:type="dxa"/>
            <w:left w:w="0" w:type="dxa"/>
            <w:bottom w:w="0" w:type="dxa"/>
            <w:right w:w="0" w:type="dxa"/>
          </w:tblCellMar>
        </w:tblPrEx>
        <w:trPr>
          <w:trHeight w:val="534"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rPr>
              <w:t>一级指标</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二级指标</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三级指标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目标值</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自评实际值</w:t>
            </w:r>
          </w:p>
        </w:tc>
        <w:tc>
          <w:tcPr>
            <w:tcW w:w="1714" w:type="dxa"/>
            <w:tcBorders>
              <w:top w:val="single" w:color="000000" w:sz="4" w:space="0"/>
              <w:left w:val="nil"/>
              <w:bottom w:val="nil"/>
              <w:right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权重</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自评得分</w:t>
            </w:r>
          </w:p>
        </w:tc>
      </w:tr>
      <w:tr>
        <w:tblPrEx>
          <w:tblLayout w:type="fixed"/>
          <w:tblCellMar>
            <w:top w:w="0" w:type="dxa"/>
            <w:left w:w="0" w:type="dxa"/>
            <w:bottom w:w="0" w:type="dxa"/>
            <w:right w:w="0" w:type="dxa"/>
          </w:tblCellMar>
        </w:tblPrEx>
        <w:trPr>
          <w:trHeight w:val="40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部门管理（40分）</w:t>
            </w: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资金</w:t>
            </w:r>
            <w:r>
              <w:rPr>
                <w:rStyle w:val="21"/>
                <w:rFonts w:ascii="Times New Roman" w:hAnsi="Times New Roman" w:cs="Times New Roman"/>
              </w:rPr>
              <w:br w:type="textWrapping"/>
            </w:r>
            <w:r>
              <w:rPr>
                <w:rStyle w:val="21"/>
                <w:rFonts w:ascii="Times New Roman" w:hAnsi="Times New Roman" w:cs="Times New Roman"/>
              </w:rPr>
              <w:t>投入</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预算完成率</w:t>
            </w:r>
            <w:r>
              <w:rPr>
                <w:rStyle w:val="22"/>
                <w:rFonts w:eastAsia="等线"/>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97.36%</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Layout w:type="fixed"/>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预算调整率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Layout w:type="fixed"/>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支出进度率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97.36%</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r>
      <w:tr>
        <w:tblPrEx>
          <w:tblLayout w:type="fixed"/>
          <w:tblCellMar>
            <w:top w:w="0" w:type="dxa"/>
            <w:left w:w="0" w:type="dxa"/>
            <w:bottom w:w="0" w:type="dxa"/>
            <w:right w:w="0" w:type="dxa"/>
          </w:tblCellMar>
        </w:tblPrEx>
        <w:trPr>
          <w:trHeight w:val="2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eastAsia="等线"/>
              </w:rPr>
              <w:t>“</w:t>
            </w:r>
            <w:r>
              <w:rPr>
                <w:rStyle w:val="19"/>
                <w:rFonts w:ascii="Times New Roman" w:hAnsi="Times New Roman" w:cs="Times New Roman"/>
              </w:rPr>
              <w:t>三公经费</w:t>
            </w:r>
            <w:r>
              <w:rPr>
                <w:rStyle w:val="20"/>
                <w:rFonts w:eastAsia="等线"/>
              </w:rPr>
              <w:t>”</w:t>
            </w:r>
            <w:r>
              <w:rPr>
                <w:rStyle w:val="19"/>
                <w:rFonts w:ascii="Times New Roman" w:hAnsi="Times New Roman" w:cs="Times New Roman"/>
              </w:rPr>
              <w:t>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Layout w:type="fixed"/>
          <w:tblCellMar>
            <w:top w:w="0" w:type="dxa"/>
            <w:left w:w="0" w:type="dxa"/>
            <w:bottom w:w="0" w:type="dxa"/>
            <w:right w:w="0" w:type="dxa"/>
          </w:tblCellMar>
        </w:tblPrEx>
        <w:trPr>
          <w:trHeight w:val="3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结转结余变动率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Layout w:type="fixed"/>
          <w:tblCellMar>
            <w:top w:w="0" w:type="dxa"/>
            <w:left w:w="0" w:type="dxa"/>
            <w:bottom w:w="0" w:type="dxa"/>
            <w:right w:w="0" w:type="dxa"/>
          </w:tblCellMar>
        </w:tblPrEx>
        <w:trPr>
          <w:trHeight w:val="40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财务管理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问题资金占比</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Layout w:type="fixed"/>
          <w:tblCellMar>
            <w:top w:w="0" w:type="dxa"/>
            <w:left w:w="0" w:type="dxa"/>
            <w:bottom w:w="0" w:type="dxa"/>
            <w:right w:w="0" w:type="dxa"/>
          </w:tblCellMar>
        </w:tblPrEx>
        <w:trPr>
          <w:trHeight w:val="46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采购管理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政府采购执行率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eastAsia" w:ascii="Times New Roman" w:hAnsi="Times New Roman" w:cs="Times New Roman"/>
                <w:lang w:eastAsia="zh-CN"/>
              </w:rPr>
            </w:pPr>
            <w:r>
              <w:rPr>
                <w:rStyle w:val="19"/>
                <w:rFonts w:hint="eastAsia" w:ascii="Times New Roman" w:hAnsi="Times New Roman" w:cs="Times New Roman"/>
                <w:lang w:eastAsia="zh-CN"/>
              </w:rPr>
              <w:t>无政府采购</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r>
      <w:tr>
        <w:tblPrEx>
          <w:tblLayout w:type="fixed"/>
          <w:tblCellMar>
            <w:top w:w="0" w:type="dxa"/>
            <w:left w:w="0" w:type="dxa"/>
            <w:bottom w:w="0" w:type="dxa"/>
            <w:right w:w="0" w:type="dxa"/>
          </w:tblCellMar>
        </w:tblPrEx>
        <w:trPr>
          <w:trHeight w:val="433"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资产管理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资产管理规范性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规范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lang w:val="en-US" w:eastAsia="zh-CN"/>
              </w:rPr>
            </w:pPr>
            <w:r>
              <w:rPr>
                <w:rStyle w:val="19"/>
                <w:rFonts w:hint="eastAsia" w:ascii="Times New Roman" w:hAnsi="Times New Roman" w:cs="Times New Roman"/>
                <w:lang w:val="en-US" w:eastAsia="zh-CN"/>
              </w:rPr>
              <w:t>规范</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Layout w:type="fixed"/>
          <w:tblCellMar>
            <w:top w:w="0" w:type="dxa"/>
            <w:left w:w="0" w:type="dxa"/>
            <w:bottom w:w="0" w:type="dxa"/>
            <w:right w:w="0" w:type="dxa"/>
          </w:tblCellMar>
        </w:tblPrEx>
        <w:trPr>
          <w:trHeight w:val="476"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人员管理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在职人员控制率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w:t>
            </w:r>
          </w:p>
        </w:tc>
      </w:tr>
      <w:tr>
        <w:tblPrEx>
          <w:tblLayout w:type="fixed"/>
          <w:tblCellMar>
            <w:top w:w="0" w:type="dxa"/>
            <w:left w:w="0" w:type="dxa"/>
            <w:bottom w:w="0" w:type="dxa"/>
            <w:right w:w="0" w:type="dxa"/>
          </w:tblCellMar>
        </w:tblPrEx>
        <w:trPr>
          <w:trHeight w:val="4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1"/>
                <w:rFonts w:ascii="Times New Roman" w:hAnsi="Times New Roman" w:cs="Times New Roman"/>
              </w:rPr>
              <w:t>信息管理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预决算信息公开性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按规定公开</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2</w:t>
            </w:r>
          </w:p>
        </w:tc>
      </w:tr>
      <w:tr>
        <w:tblPrEx>
          <w:tblLayout w:type="fixed"/>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Style w:val="19"/>
                <w:rFonts w:ascii="Times New Roman" w:hAnsi="Times New Roman" w:cs="Times New Roman"/>
              </w:rPr>
              <w:t>按规定公开</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2</w:t>
            </w:r>
          </w:p>
        </w:tc>
      </w:tr>
      <w:tr>
        <w:tblPrEx>
          <w:tblLayout w:type="fixed"/>
          <w:tblCellMar>
            <w:top w:w="0" w:type="dxa"/>
            <w:left w:w="0" w:type="dxa"/>
            <w:bottom w:w="0" w:type="dxa"/>
            <w:right w:w="0" w:type="dxa"/>
          </w:tblCellMar>
        </w:tblPrEx>
        <w:trPr>
          <w:trHeight w:val="39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1"/>
                <w:rFonts w:ascii="Times New Roman" w:hAnsi="Times New Roman" w:cs="Times New Roman"/>
              </w:rPr>
              <w:t>绩效管理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绩效目标审核通过率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2</w:t>
            </w:r>
          </w:p>
        </w:tc>
      </w:tr>
      <w:tr>
        <w:tblPrEx>
          <w:tblLayout w:type="fixed"/>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绩效自评覆盖率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Style w:val="19"/>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2</w:t>
            </w:r>
          </w:p>
        </w:tc>
      </w:tr>
      <w:tr>
        <w:tblPrEx>
          <w:tblLayout w:type="fixed"/>
          <w:tblCellMar>
            <w:top w:w="0" w:type="dxa"/>
            <w:left w:w="0" w:type="dxa"/>
            <w:bottom w:w="0" w:type="dxa"/>
            <w:right w:w="0" w:type="dxa"/>
          </w:tblCellMar>
        </w:tblPrEx>
        <w:trPr>
          <w:trHeight w:val="407"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部门产出（</w:t>
            </w:r>
            <w:r>
              <w:rPr>
                <w:rStyle w:val="20"/>
                <w:rFonts w:eastAsia="等线"/>
              </w:rPr>
              <w:t>40</w:t>
            </w:r>
            <w:r>
              <w:rPr>
                <w:rStyle w:val="19"/>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数</w:t>
            </w:r>
            <w:r>
              <w:rPr>
                <w:rStyle w:val="20"/>
                <w:rFonts w:eastAsia="宋体"/>
              </w:rPr>
              <w:t xml:space="preserve"> </w:t>
            </w:r>
            <w:r>
              <w:rPr>
                <w:rStyle w:val="21"/>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重点工作实际完成率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Style w:val="19"/>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15</w:t>
            </w:r>
          </w:p>
        </w:tc>
      </w:tr>
      <w:tr>
        <w:tblPrEx>
          <w:tblLayout w:type="fixed"/>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质</w:t>
            </w:r>
            <w:r>
              <w:rPr>
                <w:rStyle w:val="20"/>
                <w:rFonts w:eastAsia="宋体"/>
              </w:rPr>
              <w:t xml:space="preserve"> </w:t>
            </w:r>
            <w:r>
              <w:rPr>
                <w:rStyle w:val="21"/>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重点工作质量达标率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10</w:t>
            </w:r>
          </w:p>
        </w:tc>
      </w:tr>
      <w:tr>
        <w:tblPrEx>
          <w:tblLayout w:type="fixed"/>
          <w:tblCellMar>
            <w:top w:w="0" w:type="dxa"/>
            <w:left w:w="0" w:type="dxa"/>
            <w:bottom w:w="0" w:type="dxa"/>
            <w:right w:w="0" w:type="dxa"/>
          </w:tblCellMar>
        </w:tblPrEx>
        <w:trPr>
          <w:trHeight w:val="45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时</w:t>
            </w:r>
            <w:r>
              <w:rPr>
                <w:rStyle w:val="20"/>
                <w:rFonts w:eastAsia="宋体"/>
              </w:rPr>
              <w:t xml:space="preserve"> </w:t>
            </w:r>
            <w:r>
              <w:rPr>
                <w:rStyle w:val="21"/>
                <w:rFonts w:ascii="Times New Roman" w:hAnsi="Times New Roman" w:cs="Times New Roman"/>
              </w:rPr>
              <w:t>效</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重点工作完成及时率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Style w:val="19"/>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10</w:t>
            </w:r>
          </w:p>
        </w:tc>
      </w:tr>
      <w:tr>
        <w:tblPrEx>
          <w:tblLayout w:type="fixed"/>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成</w:t>
            </w:r>
            <w:r>
              <w:rPr>
                <w:rStyle w:val="20"/>
                <w:rFonts w:eastAsia="宋体"/>
              </w:rPr>
              <w:t xml:space="preserve"> </w:t>
            </w:r>
            <w:r>
              <w:rPr>
                <w:rStyle w:val="21"/>
                <w:rFonts w:ascii="Times New Roman" w:hAnsi="Times New Roman" w:cs="Times New Roman"/>
              </w:rPr>
              <w:t>本</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一般性支出压减率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&gt;0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2.64%</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w:t>
            </w:r>
          </w:p>
        </w:tc>
      </w:tr>
      <w:tr>
        <w:tblPrEx>
          <w:tblLayout w:type="fixed"/>
          <w:tblCellMar>
            <w:top w:w="0" w:type="dxa"/>
            <w:left w:w="0" w:type="dxa"/>
            <w:bottom w:w="0" w:type="dxa"/>
            <w:right w:w="0" w:type="dxa"/>
          </w:tblCellMar>
        </w:tblPrEx>
        <w:trPr>
          <w:trHeight w:val="37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部门效果（</w:t>
            </w:r>
            <w:r>
              <w:rPr>
                <w:rStyle w:val="20"/>
                <w:rFonts w:eastAsia="等线"/>
              </w:rPr>
              <w:t>20</w:t>
            </w:r>
            <w:r>
              <w:rPr>
                <w:rStyle w:val="19"/>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经济效益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eastAsia" w:ascii="Times New Roman" w:hAnsi="Times New Roman" w:cs="Times New Roman"/>
                <w:lang w:eastAsia="zh-CN"/>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p>
        </w:tc>
        <w:tc>
          <w:tcPr>
            <w:tcW w:w="1714" w:type="dxa"/>
            <w:vMerge w:val="restart"/>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p>
        </w:tc>
      </w:tr>
      <w:tr>
        <w:tblPrEx>
          <w:tblLayout w:type="fixed"/>
          <w:tblCellMar>
            <w:top w:w="0" w:type="dxa"/>
            <w:left w:w="0" w:type="dxa"/>
            <w:bottom w:w="0" w:type="dxa"/>
            <w:right w:w="0" w:type="dxa"/>
          </w:tblCellMar>
        </w:tblPrEx>
        <w:trPr>
          <w:trHeight w:val="30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社会效益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eastAsia" w:ascii="Times New Roman" w:hAnsi="Times New Roman" w:cs="Times New Roman"/>
                <w:lang w:eastAsia="zh-CN"/>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≥90%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Style w:val="19"/>
                <w:rFonts w:ascii="Times New Roman" w:hAnsi="Times New Roman" w:cs="Times New Roman"/>
              </w:rPr>
              <w:t>≥</w:t>
            </w:r>
            <w:r>
              <w:rPr>
                <w:rFonts w:hint="eastAsia" w:ascii="Times New Roman" w:hAnsi="Times New Roman" w:eastAsia="仿宋_GB2312" w:cs="Times New Roman"/>
                <w:color w:val="000000"/>
                <w:sz w:val="18"/>
                <w:szCs w:val="18"/>
                <w:lang w:val="en-US" w:eastAsia="zh-CN"/>
              </w:rPr>
              <w:t>95%</w:t>
            </w: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Layout w:type="fixed"/>
          <w:tblCellMar>
            <w:top w:w="0" w:type="dxa"/>
            <w:left w:w="0" w:type="dxa"/>
            <w:bottom w:w="0" w:type="dxa"/>
            <w:right w:w="0" w:type="dxa"/>
          </w:tblCellMar>
        </w:tblPrEx>
        <w:trPr>
          <w:trHeight w:val="319"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生态效益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Layout w:type="fixed"/>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满意度</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eastAsia="zh-CN"/>
              </w:rPr>
            </w:pPr>
            <w:r>
              <w:rPr>
                <w:rStyle w:val="19"/>
                <w:rFonts w:hint="eastAsia" w:ascii="Times New Roman" w:hAnsi="Times New Roman" w:cs="Times New Roman"/>
                <w:lang w:eastAsia="zh-CN"/>
              </w:rPr>
              <w:t>综合满意率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≥90%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Style w:val="19"/>
                <w:rFonts w:ascii="Times New Roman" w:hAnsi="Times New Roman" w:cs="Times New Roman"/>
              </w:rPr>
              <w:t>≥</w:t>
            </w:r>
            <w:r>
              <w:rPr>
                <w:rFonts w:hint="eastAsia" w:ascii="Times New Roman" w:hAnsi="Times New Roman" w:eastAsia="仿宋_GB2312" w:cs="Times New Roman"/>
                <w:color w:val="000000"/>
                <w:sz w:val="18"/>
                <w:szCs w:val="18"/>
                <w:lang w:val="en-US" w:eastAsia="zh-CN"/>
              </w:rPr>
              <w:t>95%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Layout w:type="fixed"/>
          <w:tblCellMar>
            <w:top w:w="0" w:type="dxa"/>
            <w:left w:w="0" w:type="dxa"/>
            <w:bottom w:w="0" w:type="dxa"/>
            <w:right w:w="0" w:type="dxa"/>
          </w:tblCellMar>
        </w:tblPrEx>
        <w:trPr>
          <w:trHeight w:val="374"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合　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1714"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99</w:t>
            </w:r>
          </w:p>
        </w:tc>
      </w:tr>
      <w:tr>
        <w:tblPrEx>
          <w:tblLayout w:type="fixed"/>
          <w:tblCellMar>
            <w:top w:w="0" w:type="dxa"/>
            <w:left w:w="0" w:type="dxa"/>
            <w:bottom w:w="0" w:type="dxa"/>
            <w:right w:w="0" w:type="dxa"/>
          </w:tblCellMar>
        </w:tblPrEx>
        <w:trPr>
          <w:trHeight w:val="431"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rPr>
              <w:t>评价结论：</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Times New Roman" w:hAnsi="Times New Roman" w:eastAsia="等线" w:cs="Times New Roman"/>
                <w:color w:val="000000"/>
                <w:sz w:val="22"/>
                <w:lang w:eastAsia="zh-CN"/>
              </w:rPr>
            </w:pPr>
            <w:r>
              <w:rPr>
                <w:rFonts w:hint="eastAsia" w:hAnsi="仿宋" w:eastAsia="仿宋"/>
                <w:color w:val="000000"/>
                <w:kern w:val="0"/>
                <w:sz w:val="24"/>
                <w:lang w:val="en-US" w:eastAsia="zh-CN"/>
              </w:rPr>
              <w:t>优秀</w:t>
            </w:r>
          </w:p>
        </w:tc>
      </w:tr>
      <w:tr>
        <w:tblPrEx>
          <w:tblLayout w:type="fixed"/>
          <w:tblCellMar>
            <w:top w:w="0" w:type="dxa"/>
            <w:left w:w="0" w:type="dxa"/>
            <w:bottom w:w="0" w:type="dxa"/>
            <w:right w:w="0" w:type="dxa"/>
          </w:tblCellMar>
        </w:tblPrEx>
        <w:trPr>
          <w:trHeight w:val="493"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绩效指标完成的指标</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hAnsi="仿宋" w:eastAsia="仿宋"/>
                <w:color w:val="000000"/>
                <w:kern w:val="0"/>
                <w:sz w:val="24"/>
                <w:lang w:val="en-US" w:eastAsia="zh-CN"/>
              </w:rPr>
              <w:t>完成年度统计调查、普查任务。</w:t>
            </w:r>
          </w:p>
        </w:tc>
      </w:tr>
      <w:tr>
        <w:tblPrEx>
          <w:tblLayout w:type="fixed"/>
          <w:tblCellMar>
            <w:top w:w="0" w:type="dxa"/>
            <w:left w:w="0" w:type="dxa"/>
            <w:bottom w:w="0" w:type="dxa"/>
            <w:right w:w="0" w:type="dxa"/>
          </w:tblCellMar>
        </w:tblPrEx>
        <w:trPr>
          <w:trHeight w:val="452"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超标完成和尚未完成的绩效指标与目标值偏差程度</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eastAsia" w:ascii="Times New Roman" w:hAnsi="Times New Roman" w:cs="Times New Roman" w:eastAsiaTheme="minorEastAsia"/>
                <w:color w:val="000000"/>
                <w:sz w:val="20"/>
                <w:szCs w:val="20"/>
                <w:lang w:eastAsia="zh-CN"/>
              </w:rPr>
            </w:pPr>
            <w:r>
              <w:rPr>
                <w:rFonts w:hint="eastAsia" w:hAnsi="仿宋" w:eastAsia="仿宋"/>
                <w:color w:val="000000"/>
                <w:kern w:val="0"/>
                <w:sz w:val="24"/>
                <w:lang w:val="en-US" w:eastAsia="zh-CN"/>
              </w:rPr>
              <w:t>稍有偏差。</w:t>
            </w:r>
          </w:p>
        </w:tc>
      </w:tr>
      <w:tr>
        <w:tblPrEx>
          <w:tblLayout w:type="fixed"/>
          <w:tblCellMar>
            <w:top w:w="0" w:type="dxa"/>
            <w:left w:w="0" w:type="dxa"/>
            <w:bottom w:w="0" w:type="dxa"/>
            <w:right w:w="0" w:type="dxa"/>
          </w:tblCellMar>
        </w:tblPrEx>
        <w:trPr>
          <w:trHeight w:val="513" w:hRule="atLeast"/>
        </w:trPr>
        <w:tc>
          <w:tcPr>
            <w:tcW w:w="5635" w:type="dxa"/>
            <w:gridSpan w:val="5"/>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超标完成和尚未完成的绩效指标原因说明</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hAnsi="仿宋" w:eastAsia="仿宋"/>
                <w:color w:val="000000"/>
                <w:kern w:val="0"/>
                <w:sz w:val="24"/>
                <w:lang w:val="en-US" w:eastAsia="zh-CN"/>
              </w:rPr>
              <w:t>预算与实际需求有差距。</w:t>
            </w:r>
          </w:p>
        </w:tc>
      </w:tr>
      <w:tr>
        <w:tblPrEx>
          <w:tblLayout w:type="fixed"/>
          <w:tblCellMar>
            <w:top w:w="0" w:type="dxa"/>
            <w:left w:w="0" w:type="dxa"/>
            <w:bottom w:w="0" w:type="dxa"/>
            <w:right w:w="0" w:type="dxa"/>
          </w:tblCellMar>
        </w:tblPrEx>
        <w:trPr>
          <w:trHeight w:val="690" w:hRule="atLeast"/>
        </w:trPr>
        <w:tc>
          <w:tcPr>
            <w:tcW w:w="2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改进措施</w:t>
            </w: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1.</w:t>
            </w:r>
            <w:r>
              <w:rPr>
                <w:rStyle w:val="24"/>
                <w:rFonts w:ascii="Times New Roman" w:hAnsi="Times New Roman" w:cs="Times New Roman"/>
              </w:rPr>
              <w:t>对部门预算编制、预算执行与部门决算等的措施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ascii="仿宋" w:hAnsi="仿宋" w:eastAsia="仿宋"/>
                <w:color w:val="000000"/>
                <w:kern w:val="0"/>
                <w:sz w:val="24"/>
                <w:lang w:val="en-US" w:eastAsia="zh-CN"/>
              </w:rPr>
              <w:t>我们将严格按照预算编制的相关制度和规定，根据上年度决算加强支出分析，提高预算编制的科学性。</w:t>
            </w:r>
          </w:p>
        </w:tc>
      </w:tr>
      <w:tr>
        <w:tblPrEx>
          <w:tblLayout w:type="fixed"/>
          <w:tblCellMar>
            <w:top w:w="0" w:type="dxa"/>
            <w:left w:w="0" w:type="dxa"/>
            <w:bottom w:w="0" w:type="dxa"/>
            <w:right w:w="0" w:type="dxa"/>
          </w:tblCellMar>
        </w:tblPrEx>
        <w:trPr>
          <w:trHeight w:val="57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2.</w:t>
            </w:r>
            <w:r>
              <w:rPr>
                <w:rStyle w:val="24"/>
                <w:rFonts w:ascii="Times New Roman" w:hAnsi="Times New Roman" w:cs="Times New Roman"/>
              </w:rPr>
              <w:t>对制度完善、人员管理、资产配置等的措施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ascii="仿宋" w:hAnsi="仿宋" w:eastAsia="仿宋"/>
                <w:color w:val="000000"/>
                <w:kern w:val="0"/>
                <w:sz w:val="24"/>
                <w:lang w:val="en-US" w:eastAsia="zh-CN"/>
              </w:rPr>
              <w:t>我们将进一步完善各项管理制度，确保各项制度切实可行。</w:t>
            </w:r>
          </w:p>
        </w:tc>
      </w:tr>
      <w:tr>
        <w:tblPrEx>
          <w:tblLayout w:type="fixed"/>
          <w:tblCellMar>
            <w:top w:w="0" w:type="dxa"/>
            <w:left w:w="0" w:type="dxa"/>
            <w:bottom w:w="0" w:type="dxa"/>
            <w:right w:w="0" w:type="dxa"/>
          </w:tblCellMar>
        </w:tblPrEx>
        <w:trPr>
          <w:trHeight w:val="58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3.</w:t>
            </w:r>
            <w:r>
              <w:rPr>
                <w:rStyle w:val="24"/>
                <w:rFonts w:ascii="Times New Roman" w:hAnsi="Times New Roman" w:cs="Times New Roman"/>
              </w:rPr>
              <w:t>其他措施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eastAsia" w:ascii="Times New Roman" w:hAnsi="Times New Roman" w:cs="Times New Roman" w:eastAsiaTheme="minorEastAsia"/>
                <w:color w:val="000000"/>
                <w:sz w:val="20"/>
                <w:szCs w:val="20"/>
                <w:lang w:eastAsia="zh-CN"/>
              </w:rPr>
            </w:pPr>
            <w:r>
              <w:rPr>
                <w:rFonts w:hint="eastAsia" w:ascii="Times New Roman" w:hAnsi="Times New Roman" w:cs="Times New Roman"/>
                <w:color w:val="000000"/>
                <w:sz w:val="20"/>
                <w:szCs w:val="20"/>
                <w:lang w:eastAsia="zh-CN"/>
              </w:rPr>
              <w:t>无</w:t>
            </w:r>
          </w:p>
        </w:tc>
      </w:tr>
    </w:tbl>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25" w:type="default"/>
      <w:pgSz w:w="16838" w:h="11906" w:orient="landscape"/>
      <w:pgMar w:top="1418" w:right="1701" w:bottom="1418" w:left="128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w:panose1 w:val="000000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5168"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55168;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6192"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56192;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721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5721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58240;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438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6438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45952"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4595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44928"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4492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9504"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69504;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70528;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5648"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75648;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NUAnfrzBAAAoBQAAA4AAABkcnMvZTJvRG9jLnhtbO1Y&#10;y27sNBjeI/EOVpZIdJJpJnNRp0dVSyukwqnUgzgs3dylJA62p9OyPgt2sGaDhNjwCKiCp6HAY/DZ&#10;jlN3Wp10Dggh0Vkkvvz+/fv7L58ney+u6opcplyUrFl6wY7vkbSJWVI2+dL77NXxhzOPCEmbhFas&#10;SZfedSq8F/vvv7e3bhfpmBWsSlJOoKQRi3W79Aop28VoJOIiranYYW3aYDJjvKYSXZ6PEk7X0F5X&#10;o7HvR6M140nLWZwKgdEjM+nta/1ZlsbyZZaJVJJq6cE2qZ9cPy/Uc7S/Rxc5p21Rxp0Z9B2sqGnZ&#10;YNNe1RGVlKx4+UBVXcacCZbJnZjVI5ZlZZzqM+A0gb9xmhPOVq0+S75Y520PE6DdwOmd1cafXp5x&#10;UiZLLxx7pKE1fPTHzZvbb78mGAA66zZfQOiEt+ftGe8GctNTB77KeK3eOAq50rhe97imV5LEGIzm&#10;wSSYAP4Yc2E4jaYTA3xcwDtq2WwWeASTE7+f+ahbHATz3W5pEEznauHIbjtS1vXGrFvEkLiDSfw9&#10;mM4L2qYafaEQsDDt9jB9/9PtLz+QDiUt00MkFgJoPYKPPWgw2Z0ZDCxIOOd4YiAKwujeMemi5UKe&#10;pKwmqrH0OOJahxu9PBXSIGJF1KaCVWVyXFaV7vD84rDi5JIiB46Pj+ZRpNdWq/oTlpjhyMfP2INh&#10;5RQtHdphIC6MGo3+Pf1VQ9ZI/fEUGkhMkcRZRSWadYuwEk3uEVrlqA6x5HrjhinTYLU51xEVhdlO&#10;qzVW1KVEXajKGrGhjNDGwYqqgQHK0QZf1bpgyTWcw5lJbtHGxyVQOqVCnlGObIZZqFDyJR5ZxWAr&#10;61oeKRj/6rFxJY/owaxH1qgOOMeXK8pTj1QfN4ireRCGUCt1J5xMx+hwd+bCnWlW9SED+IhxWKeb&#10;Sl5WtplxVn+OQnagdsUUbWLsbRDrOofSVC2Uwjg9ONBiKCEtlafNeRsr5QrQhh2sJMtKHRR36HSg&#10;ITtURv8baRLaNPnt5ub3N9/c/vjdn7/+rPJlVzlY2YCcGs6XwA+mU10aoplOCrqwCTOOgrnJl1mk&#10;k7AvC3QRr0y+KEhsjqA4J8gWNZQnXamLWdMIhNprgJ7VFYLlgxGZzCdkTbR6HaQPpL9wpQNSkM6A&#10;xxTD571ipXJAsyvuv10z6vU2ml1x2Pt23ShyvW5/wGRXdlAxwqJXPIyzK+3gDEf3rqSFqYDw+VXT&#10;uRctZA1Y0tc50TKhOMb1NajGduFMU0CxSsXGwGLDU/3iYKvF8IG7s43ap+0MnN3FOo+AxNMWA0l3&#10;ceiabZR02ClqUZelSl+WJMoU6MYjuCxdqDUo2VQqyG1T1X6TiQVKNRJRTdSosK+YFpEKenha72/R&#10;upuvGlfOKIKh1id22r5bra4X6/IOB7AC9m0EkadQNiS1aZ3VEVdMpCY21KE18/WnV6A5RUZT16OM&#10;q9nLnuee2DNxPhMn0qXjwu5+Oenvl5vEqXN2C+IMI0Oc/Z26J87d0F40A1/fQhHM9h7vBvXWzBlF&#10;swGycJlT8Vswjrob/wOWfe1y4ZbUGQzpdtnwCbpdcWXygOUuJW5Dn09Q7VLiMNyutAsJHP7MoP9F&#10;BtX58BiFwteazCyTDFJoYCUtndn3BofaDBwg0UGxTQPtdv8Miz7/b/3f/2/VH3vwGUzfw7pPduo7&#10;m9vX/3PvPizu/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DGHzmP2QAAAAkBAAAPAAAAAAAAAAEA&#10;IAAAACIAAABkcnMvZG93bnJldi54bWxQSwECFAAUAAAACACHTuJA1QCd+vMEAACg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6672;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TEnXGJwMAADUIAAAOAAAAZHJzL2Uyb0RvYy54bWzdVUtv&#10;EzEQviPxHyzf6e7m0aSrbqrQ0gqpopUK4ux4vQ/JaxvbyaacEXDkxAkJwQ2Jf4D4OW3/BmPvo2np&#10;hdeFHDZjjz2Pb74Z7+6tK45WTJtSigRHWyFGTFCZliJP8LOnhw+mGBlLREq4FCzB58zgvdn9e7u1&#10;itlAFpKnTCMwIkxcqwQX1qo4CAwtWEXMllRMgDKTuiIWljoPUk1qsF7xYBCG20Etdaq0pMwY2D1o&#10;lHjm7WcZo/YkywyziCcYYrP+q/134b7BbJfEuSaqKGkbBvmNKCpSCnDamzoglqClLn8yVZVUSyMz&#10;u0VlFcgsKynzOUA2UXgrmyMtl8rnksd1rnqYANpbOP22WfpkdapRmSZ4PMJIkApqdPXt1cW7twg2&#10;AJ1a5TEcOtLqTJ3qdiNvVi7hdaYr9w+poLXH9bzHla0torA5HI8n0XCMEQXdKJyEIHvgaQHVcdei&#10;4XCCEWin07YmtHjU3Y7GUXN1exS5e0HnNXDB9bHUCihkrlEyf4bSWUEU8+AbB0CHEmTRoHT5/s3l&#10;h6+Xn16j7QYnf8yBhOz6oXRJdfsGNu/AKhqFkNhm0j1g4RTgcGjdTpnESht7xGSFnJBgDRT3zCOr&#10;Y2MbdLojzqeQhyXnHm0uUA0Wh+PQX+g1gCcXAKsDsAnVSXa9WMM1Jy5keg5padm0j1H0sATnx8TY&#10;U6KhX6CzYAbYE/hkXIIT2UoYFVK/vGvfnYcCgRajGvovwebFkmiGEX8soHQ70WjkGtYvRuPJABZ6&#10;U7PY1IhltS+hxQFPiM6L7rzlnZhpWT2HUTF3XkFFBAXfCbaduG+bqQCjhrL53B+CFlXEHoszRZ3p&#10;Bs750sqs9EhfY9OiB/RrEPv3PNzueHj18cvF989o0pENuNp3alfPrmH6Nu37LQpHvs1J3HEvinYa&#10;6g2HvhX7bvtl6hnJy9SxzwFndL7Y5xqtiJvE/tf28o1jDUejwSSEIlFHi4wTKBKtVAoUETnUi+fw&#10;1FCrb7K4Ce+AmKLx4c06FySuSguPDC8rmC+bnu9g/X9MdYdYy/u/R3Y/guFt8lO5fUfd47e59s1x&#10;/drP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kxJ1xi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8720"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78720;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CjDI709AQAAKAUAAAOAAAAZHJzL2Uyb0RvYy54bWzt&#10;WMtu7DQY3iPxDlaWSHSSmUzmok6PqpZWSIVTqQdxWLq5S0kcbE+nZX0W7GDNBgmx4RFQBU9Dgcfg&#10;sx2nbjs6aQ8IIdFZJL78/v37+y+fJ7svLuuKXKRclKxZecGO75G0iVlSNvnK++zV0YdzjwhJm4RW&#10;rElX3lUqvBd777+3u2mX6ZgVrEpSTqCkEctNu/IKKdvlaCTiIq2p2GFt2mAyY7ymEl2ejxJON9Be&#10;V6Ox70ejDeNJy1mcCoHRQzPp7Wn9WZbG8mWWiVSSauXBNqmfXD/P1XO0t0uXOadtUcadGfQdrKhp&#10;2WDTXtUhlZSseflAVV3GnAmWyZ2Y1SOWZWWc6jPgNIF/7zTHnK1bfZZ8ucnbHiZAew+nd1Ybf3px&#10;ykmZrLww8EhDa/joj+s3N99+TTAAdDZtvoTQMW/P2lPeDeSmpw58mfFavXEUcqlxvepxTS8liTE4&#10;m04niwjwx5gLw1k0mxrg4wLeUcvmc+yOyanfz3zULQ6CxaRbGgSzhVo4stuOlHW9MZsWMSRuYRJ/&#10;D6azgrapRl8oBDqYprMepu9/uvnlBzI2KGmZHiKxFEBrCz72oMF0MjcYWJBwzvHUQBSE0Z1j0mXL&#10;hTxOWU1UY+VxxLUON3pxIqRBxIqoTQWryuSorCrd4fn5QcXJBUUOHB0dLqJIr63W9ScsMcORj5+x&#10;B8PKKVo6tMNAXBg1Gv07+quGbJD64xk0kJgiibOKSjTrFmElmtwjtMpRHWLJ9cYNU6bBanOuQyoK&#10;s51Wa6yoS4m6UJU1YkMZoY2DFVUDA5SjDb6qdc6SKziHM5Pcoo2PSqB0QoU8pRzZDLNQoeRLPLKK&#10;wVbWtTxSMP7VtnElj+jBrEc2qA44x5drylOPVB83iKtFEIZQK3UnnM7G6HB35tydadb1AQP4iHFY&#10;p5tKXla2mXFWf45Ctq92xRRtYuxtEOs6B9JULZTCON3f12IoIS2VJ81ZGyvlCtCG7a8ly0odFLfo&#10;dKAhO1RG/xtpgrpvqslv19e/v/nm5sfv/vz1Z5UvE+VgZQNyajhfAj+YIeNQGqK5Tgq6tAkzjoKF&#10;yZd5pJOwLwt0Ga9NvihIbI6gOCfIFjWUJ51xMWsagVB7DdCzukKwfDAi08WUbIhWr4P0gfQXrnRA&#10;CtIZsE0xfN4rVioHNLvi/ts1j5+m2RWHvW/XPXF0+wMmu7KDikNH8TDOrrSDMxzdu5IWpgLC55dN&#10;5160kDVgSV/nRMuE4hjX14gn24UzTQHFKhUbA4sNT/WLNUfCnscthg/cnW3UPm4xcHYX6zx69M5A&#10;0l0cumc2SjrsFLWoy1KlL0so4yg73CO4LJ2byoyKoyBXUKmmqv0mEwuUaiSimqhRYV8xLSIV9PC0&#10;3t+idTtfNa6cUQRDrU/stH23Wl0v1uUdDmAF7NsIIk+hbEjqvnVWR1wxkZrYUCfVzNefXoHmFBlN&#10;XVsZV7OXPc8dsWfifCZOpEvHhfZ+CU7bTpw6Z59AnGFkiLO/U/fEOQntRTPw9S0UwWzv8W5QP5k5&#10;o2g+QBYucyp+C8ZRd+N/wLKvXS58InUGQ7pdNnyEbldcmTxguUuJT6HPR6h2KXEYblfahQQOf2bQ&#10;/yKD6nzYRqHwtSYzyySDFBpYSUtn9n2PQ20GDpDooNh9A+12/wyLPv9v/d//b9Ufe/AZTN/Duk92&#10;6jub29f/c28/LO7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T8rNfaAAAACQEAAA8AAAAAAAAA&#10;AQAgAAAAIgAAAGRycy9kb3ducmV2LnhtbFBLAQIUABQAAAAIAIdO4kCjDI70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9744;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I607IJwMAADUIAAAOAAAAZHJzL2Uyb0RvYy54bWzdVc1u&#10;EzEQviPxDpbvdHeTTZOuuqlCSyukilYqiLPj9f5IXtvYTjbljIAjJ05ICG5IvAHicdq+BmNvdpuW&#10;Xvi7kMNm7BnPzzff2Lt7q5qjJdOmkiLF0VaIERNUZpUoUvzs6eGDCUbGEpERLgVL8TkzeG96/95u&#10;oxI2kKXkGdMInAiTNCrFpbUqCQJDS1YTsyUVE6DMpa6JhaUugkyTBrzXPBiE4XbQSJ0pLSkzBnYP&#10;WiWeev95zqg9yXPDLOIphtys/2r/nbtvMN0lSaGJKiu6ToP8RhY1qQQE7V0dEEvQQlc/uaorqqWR&#10;ud2isg5knleU+Rqgmii8Vc2RlgvlaymSplA9TADtLZx+2y19sjzVqMpSvA3wCFJDj66+vbp49xbB&#10;BqDTqCIBoyOtztSpXm8U7coVvMp17f6hFLTyuJ73uLKVRRQ2h6PROBqOMKKgi8NxCLIHnpbQHXcs&#10;Gg7HGIF2Mln3hJaPutPRKGqPbseROxd0UQOXXJ9Lo4BC5hol82conZVEMQ++cQB0KEEqLUqX799c&#10;fvh6+ek12m5x8mYOJGRXD6Urqts3sHkHVlEcgrfNonvAwgnA4dC6XTJJlDb2iMkaOSHFGijumUeW&#10;x8a26HQmLqaQhxXnHm0uUAMeh6PQH+g1gCcXAKsDsE3VSXY1X8ExJ85ldg5ladmOj1H0sILgx8TY&#10;U6JhXoA6cAfYE/jkXEIQuZYwKqV+ede+s4cGgRajBuYvxebFgmiGEX8soHU7URy7gfWLeDQewEJv&#10;auabGrGo9yWMOOAJ2XnR2VveibmW9XO4KmYuKqiIoBA7xbYT9217K8BVQ9ls5o1gRBWxx+JMUee6&#10;hXO2sDKvPNLX2KzRA/q1iP17Hg46Hl59/HLx/TMad2QDrvaT2vWzG5h+TPt5i8I4didJ0nEvinZa&#10;6g2HfhT7aftl6hnJq8yxz7k3upjvc42WxN3E/ufigvcbZi1Ho8E4hCZRR4ucE2gSrVUGFBEF9IsX&#10;8NRQq2+yuE3vgJiyjeHdtqXVlYVHhlc13C+bke9g/X9MdYfYmvd/j+z+Coa3yXdy/Y66x29z7Yfj&#10;+rW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yOtOyC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53120"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53120;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414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5414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48000"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48000;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46976"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46976;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49024"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49024;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004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5004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52096"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209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1072"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1072;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0F2F"/>
    <w:multiLevelType w:val="singleLevel"/>
    <w:tmpl w:val="225B0F2F"/>
    <w:lvl w:ilvl="0" w:tentative="0">
      <w:start w:val="2"/>
      <w:numFmt w:val="decimal"/>
      <w:lvlText w:val="%1."/>
      <w:lvlJc w:val="left"/>
      <w:pPr>
        <w:tabs>
          <w:tab w:val="left" w:pos="312"/>
        </w:tabs>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222FFA"/>
    <w:multiLevelType w:val="singleLevel"/>
    <w:tmpl w:val="5F222FF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HorizontalSpacing w:val="105"/>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2C9048D"/>
    <w:rsid w:val="03370B36"/>
    <w:rsid w:val="03FF5214"/>
    <w:rsid w:val="04A93A7D"/>
    <w:rsid w:val="04AA7D2B"/>
    <w:rsid w:val="04CF5F66"/>
    <w:rsid w:val="04E62E62"/>
    <w:rsid w:val="05AB1410"/>
    <w:rsid w:val="08E6125C"/>
    <w:rsid w:val="0B011416"/>
    <w:rsid w:val="0B4D616C"/>
    <w:rsid w:val="0BE35A73"/>
    <w:rsid w:val="0DED1A1C"/>
    <w:rsid w:val="0EC3368C"/>
    <w:rsid w:val="0F534A8A"/>
    <w:rsid w:val="0F6F0A90"/>
    <w:rsid w:val="0FFD4461"/>
    <w:rsid w:val="10494F72"/>
    <w:rsid w:val="1083439E"/>
    <w:rsid w:val="11A87400"/>
    <w:rsid w:val="11FE63BA"/>
    <w:rsid w:val="12475E17"/>
    <w:rsid w:val="12850BA2"/>
    <w:rsid w:val="140E1D80"/>
    <w:rsid w:val="15211FB9"/>
    <w:rsid w:val="15624B74"/>
    <w:rsid w:val="169E4906"/>
    <w:rsid w:val="196E4065"/>
    <w:rsid w:val="198E304D"/>
    <w:rsid w:val="1B153BC1"/>
    <w:rsid w:val="1B283E2A"/>
    <w:rsid w:val="1D2760D5"/>
    <w:rsid w:val="1F0852E4"/>
    <w:rsid w:val="1F1E6360"/>
    <w:rsid w:val="20464119"/>
    <w:rsid w:val="223B6F19"/>
    <w:rsid w:val="23EA4DA0"/>
    <w:rsid w:val="247F4A21"/>
    <w:rsid w:val="254635F6"/>
    <w:rsid w:val="25E53149"/>
    <w:rsid w:val="260406D2"/>
    <w:rsid w:val="267F60C4"/>
    <w:rsid w:val="27276DDA"/>
    <w:rsid w:val="27CA40CE"/>
    <w:rsid w:val="29283823"/>
    <w:rsid w:val="292F7596"/>
    <w:rsid w:val="29C91D95"/>
    <w:rsid w:val="2A6F0030"/>
    <w:rsid w:val="2B585F00"/>
    <w:rsid w:val="2B9C7F87"/>
    <w:rsid w:val="2B9D06B0"/>
    <w:rsid w:val="2B9D3148"/>
    <w:rsid w:val="2BEC66F3"/>
    <w:rsid w:val="2E8E07D8"/>
    <w:rsid w:val="2FAC454C"/>
    <w:rsid w:val="305C76C3"/>
    <w:rsid w:val="308916EC"/>
    <w:rsid w:val="3172657A"/>
    <w:rsid w:val="31C2036A"/>
    <w:rsid w:val="320D02A5"/>
    <w:rsid w:val="32977DD8"/>
    <w:rsid w:val="338F369B"/>
    <w:rsid w:val="348E566F"/>
    <w:rsid w:val="36303BC2"/>
    <w:rsid w:val="372C5B2A"/>
    <w:rsid w:val="396B24BA"/>
    <w:rsid w:val="3A226944"/>
    <w:rsid w:val="3AEE6A48"/>
    <w:rsid w:val="3B195FFB"/>
    <w:rsid w:val="3B492D5B"/>
    <w:rsid w:val="3C1620AA"/>
    <w:rsid w:val="3C4B10EA"/>
    <w:rsid w:val="3CEF3CFD"/>
    <w:rsid w:val="3CFD2C44"/>
    <w:rsid w:val="3D8F080F"/>
    <w:rsid w:val="3F461D90"/>
    <w:rsid w:val="3F4649DD"/>
    <w:rsid w:val="408B26CC"/>
    <w:rsid w:val="419B269B"/>
    <w:rsid w:val="43C45D87"/>
    <w:rsid w:val="43D55BE8"/>
    <w:rsid w:val="44CE1FA4"/>
    <w:rsid w:val="487F73ED"/>
    <w:rsid w:val="48C151CB"/>
    <w:rsid w:val="48CA2FA6"/>
    <w:rsid w:val="49643DD0"/>
    <w:rsid w:val="49F17E46"/>
    <w:rsid w:val="4A347EAE"/>
    <w:rsid w:val="4A4410B3"/>
    <w:rsid w:val="4A4D7FCE"/>
    <w:rsid w:val="4B1B371A"/>
    <w:rsid w:val="4B966906"/>
    <w:rsid w:val="4BAC5E6E"/>
    <w:rsid w:val="4D320250"/>
    <w:rsid w:val="4E511FCE"/>
    <w:rsid w:val="4FC0652B"/>
    <w:rsid w:val="500F14A5"/>
    <w:rsid w:val="50457FFA"/>
    <w:rsid w:val="5133360B"/>
    <w:rsid w:val="5137397F"/>
    <w:rsid w:val="51E30FB0"/>
    <w:rsid w:val="51F148D0"/>
    <w:rsid w:val="52600405"/>
    <w:rsid w:val="529B4319"/>
    <w:rsid w:val="53E55924"/>
    <w:rsid w:val="560D7BC6"/>
    <w:rsid w:val="57773DD6"/>
    <w:rsid w:val="578B79AB"/>
    <w:rsid w:val="59DB1B5A"/>
    <w:rsid w:val="5A29240A"/>
    <w:rsid w:val="5C852471"/>
    <w:rsid w:val="5CCD3FD5"/>
    <w:rsid w:val="5D2A1328"/>
    <w:rsid w:val="5D68308C"/>
    <w:rsid w:val="5D970DAB"/>
    <w:rsid w:val="5DF563B1"/>
    <w:rsid w:val="609E2765"/>
    <w:rsid w:val="60F06055"/>
    <w:rsid w:val="61FA5F9D"/>
    <w:rsid w:val="646975C2"/>
    <w:rsid w:val="64CD6910"/>
    <w:rsid w:val="654970DA"/>
    <w:rsid w:val="65695566"/>
    <w:rsid w:val="6789158D"/>
    <w:rsid w:val="67D81BA4"/>
    <w:rsid w:val="686216D6"/>
    <w:rsid w:val="688F62B7"/>
    <w:rsid w:val="69F73DEA"/>
    <w:rsid w:val="6A5259F5"/>
    <w:rsid w:val="6AAF1C96"/>
    <w:rsid w:val="6AC03B9C"/>
    <w:rsid w:val="6D99659A"/>
    <w:rsid w:val="6F2D7271"/>
    <w:rsid w:val="708C2AD5"/>
    <w:rsid w:val="71F67297"/>
    <w:rsid w:val="73096D13"/>
    <w:rsid w:val="73277182"/>
    <w:rsid w:val="739A67F8"/>
    <w:rsid w:val="75681757"/>
    <w:rsid w:val="75A346A8"/>
    <w:rsid w:val="760E2195"/>
    <w:rsid w:val="771C3611"/>
    <w:rsid w:val="789354BA"/>
    <w:rsid w:val="78FA7BC8"/>
    <w:rsid w:val="793D31C3"/>
    <w:rsid w:val="798F5075"/>
    <w:rsid w:val="79B9382C"/>
    <w:rsid w:val="79D37612"/>
    <w:rsid w:val="7A1B7BB7"/>
    <w:rsid w:val="7B043B76"/>
    <w:rsid w:val="7B234F4D"/>
    <w:rsid w:val="7C041A6A"/>
    <w:rsid w:val="7DB07CBD"/>
    <w:rsid w:val="7DBB7D2E"/>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w:hAnsi="Calibri" w:eastAsia="宋体" w:cs="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页眉 字符"/>
    <w:basedOn w:val="10"/>
    <w:link w:val="7"/>
    <w:qFormat/>
    <w:uiPriority w:val="99"/>
    <w:rPr>
      <w:rFonts w:asciiTheme="minorHAnsi" w:hAnsiTheme="minorHAnsi" w:eastAsiaTheme="minorEastAsia"/>
      <w:sz w:val="18"/>
      <w:szCs w:val="18"/>
    </w:rPr>
  </w:style>
  <w:style w:type="character" w:customStyle="1" w:styleId="12">
    <w:name w:val="页脚 字符"/>
    <w:basedOn w:val="10"/>
    <w:link w:val="6"/>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批注框文本 字符"/>
    <w:basedOn w:val="10"/>
    <w:link w:val="5"/>
    <w:semiHidden/>
    <w:qFormat/>
    <w:uiPriority w:val="99"/>
    <w:rPr>
      <w:rFonts w:asciiTheme="minorHAnsi" w:hAnsiTheme="minorHAnsi" w:eastAsiaTheme="minorEastAsia" w:cstheme="minorBidi"/>
      <w:kern w:val="2"/>
      <w:sz w:val="18"/>
      <w:szCs w:val="18"/>
    </w:rPr>
  </w:style>
  <w:style w:type="character" w:customStyle="1" w:styleId="15">
    <w:name w:val="font11"/>
    <w:qFormat/>
    <w:uiPriority w:val="0"/>
    <w:rPr>
      <w:rFonts w:ascii="仿宋_GB2312" w:eastAsia="仿宋_GB2312" w:cs="仿宋_GB2312"/>
      <w:color w:val="000000"/>
      <w:sz w:val="18"/>
      <w:szCs w:val="18"/>
      <w:u w:val="none"/>
      <w:lang w:bidi="ar-SA"/>
    </w:rPr>
  </w:style>
  <w:style w:type="character" w:customStyle="1" w:styleId="16">
    <w:name w:val="font112"/>
    <w:qFormat/>
    <w:uiPriority w:val="0"/>
    <w:rPr>
      <w:rFonts w:ascii="宋体" w:eastAsia="宋体" w:cs="宋体"/>
      <w:color w:val="000000"/>
      <w:sz w:val="18"/>
      <w:szCs w:val="18"/>
      <w:u w:val="none"/>
      <w:lang w:bidi="ar-SA"/>
    </w:rPr>
  </w:style>
  <w:style w:type="character" w:customStyle="1" w:styleId="17">
    <w:name w:val="font141"/>
    <w:qFormat/>
    <w:uiPriority w:val="0"/>
    <w:rPr>
      <w:rFonts w:ascii="Times New Roman" w:hAnsi="Times New Roman" w:cs="Times New Roman"/>
      <w:color w:val="000000"/>
      <w:sz w:val="18"/>
      <w:szCs w:val="18"/>
      <w:u w:val="none"/>
      <w:lang w:bidi="ar-SA"/>
    </w:rPr>
  </w:style>
  <w:style w:type="paragraph" w:styleId="18">
    <w:name w:val="List Paragraph"/>
    <w:basedOn w:val="1"/>
    <w:qFormat/>
    <w:uiPriority w:val="99"/>
    <w:pPr>
      <w:ind w:firstLine="420" w:firstLineChars="200"/>
    </w:pPr>
  </w:style>
  <w:style w:type="character" w:customStyle="1" w:styleId="19">
    <w:name w:val="font171"/>
    <w:basedOn w:val="10"/>
    <w:qFormat/>
    <w:uiPriority w:val="0"/>
    <w:rPr>
      <w:rFonts w:ascii="仿宋_GB2312" w:eastAsia="仿宋_GB2312" w:cs="仿宋_GB2312"/>
      <w:color w:val="000000"/>
      <w:sz w:val="18"/>
      <w:szCs w:val="18"/>
      <w:u w:val="none"/>
    </w:rPr>
  </w:style>
  <w:style w:type="character" w:customStyle="1" w:styleId="20">
    <w:name w:val="font51"/>
    <w:basedOn w:val="10"/>
    <w:qFormat/>
    <w:uiPriority w:val="0"/>
    <w:rPr>
      <w:rFonts w:ascii="Times New Roman" w:hAnsi="Times New Roman" w:cs="Times New Roman"/>
      <w:color w:val="000000"/>
      <w:sz w:val="18"/>
      <w:szCs w:val="18"/>
      <w:u w:val="none"/>
    </w:rPr>
  </w:style>
  <w:style w:type="character" w:customStyle="1" w:styleId="21">
    <w:name w:val="font161"/>
    <w:basedOn w:val="10"/>
    <w:qFormat/>
    <w:uiPriority w:val="0"/>
    <w:rPr>
      <w:rFonts w:ascii="宋体" w:eastAsia="宋体" w:cs="宋体"/>
      <w:color w:val="000000"/>
      <w:sz w:val="18"/>
      <w:szCs w:val="18"/>
      <w:u w:val="none"/>
    </w:rPr>
  </w:style>
  <w:style w:type="character" w:customStyle="1" w:styleId="22">
    <w:name w:val="font81"/>
    <w:basedOn w:val="10"/>
    <w:qFormat/>
    <w:uiPriority w:val="0"/>
    <w:rPr>
      <w:rFonts w:ascii="Times New Roman" w:hAnsi="Times New Roman" w:cs="Times New Roman"/>
      <w:color w:val="000000"/>
      <w:sz w:val="21"/>
      <w:szCs w:val="21"/>
      <w:u w:val="none"/>
    </w:rPr>
  </w:style>
  <w:style w:type="character" w:customStyle="1" w:styleId="23">
    <w:name w:val="font121"/>
    <w:basedOn w:val="10"/>
    <w:qFormat/>
    <w:uiPriority w:val="0"/>
    <w:rPr>
      <w:rFonts w:ascii="Times New Roman" w:hAnsi="Times New Roman" w:cs="Times New Roman"/>
      <w:color w:val="000000"/>
      <w:sz w:val="20"/>
      <w:szCs w:val="20"/>
      <w:u w:val="none"/>
    </w:rPr>
  </w:style>
  <w:style w:type="character" w:customStyle="1" w:styleId="24">
    <w:name w:val="font131"/>
    <w:basedOn w:val="10"/>
    <w:qFormat/>
    <w:uiPriority w:val="0"/>
    <w:rPr>
      <w:rFonts w:ascii="宋体" w:eastAsia="宋体" w:cs="宋体"/>
      <w:color w:val="000000"/>
      <w:sz w:val="20"/>
      <w:szCs w:val="20"/>
      <w:u w:val="none"/>
    </w:rPr>
  </w:style>
  <w:style w:type="character" w:customStyle="1" w:styleId="25">
    <w:name w:val="font01"/>
    <w:basedOn w:val="10"/>
    <w:qFormat/>
    <w:uiPriority w:val="0"/>
    <w:rPr>
      <w:rFonts w:hint="eastAsia" w:ascii="宋体" w:hAnsi="宋体" w:eastAsia="宋体" w:cs="宋体"/>
      <w:color w:val="000000"/>
      <w:sz w:val="24"/>
      <w:szCs w:val="24"/>
      <w:u w:val="none"/>
    </w:rPr>
  </w:style>
  <w:style w:type="character" w:customStyle="1" w:styleId="26">
    <w:name w:val="font21"/>
    <w:basedOn w:val="10"/>
    <w:qFormat/>
    <w:uiPriority w:val="0"/>
    <w:rPr>
      <w:rFonts w:hint="default" w:ascii="Times New Roman" w:hAnsi="Times New Roman" w:cs="Times New Roman"/>
      <w:color w:val="000000"/>
      <w:sz w:val="24"/>
      <w:szCs w:val="24"/>
      <w:u w:val="none"/>
    </w:rPr>
  </w:style>
  <w:style w:type="character" w:customStyle="1" w:styleId="27">
    <w:name w:val="font41"/>
    <w:basedOn w:val="10"/>
    <w:qFormat/>
    <w:uiPriority w:val="0"/>
    <w:rPr>
      <w:rFonts w:hint="eastAsia" w:ascii="宋体" w:hAnsi="宋体" w:eastAsia="宋体" w:cs="宋体"/>
      <w:color w:val="000000"/>
      <w:sz w:val="24"/>
      <w:szCs w:val="24"/>
      <w:u w:val="none"/>
    </w:rPr>
  </w:style>
  <w:style w:type="character" w:customStyle="1" w:styleId="28">
    <w:name w:val="font31"/>
    <w:basedOn w:val="10"/>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6.png"/><Relationship Id="rId30" Type="http://schemas.openxmlformats.org/officeDocument/2006/relationships/image" Target="media/image5.png"/><Relationship Id="rId3" Type="http://schemas.openxmlformats.org/officeDocument/2006/relationships/header" Target="header1.xml"/><Relationship Id="rId29"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bmp"/><Relationship Id="rId26" Type="http://schemas.openxmlformats.org/officeDocument/2006/relationships/theme" Target="theme/theme1.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0</TotalTime>
  <ScaleCrop>false</ScaleCrop>
  <LinksUpToDate>false</LinksUpToDate>
  <CharactersWithSpaces>13121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舍得</cp:lastModifiedBy>
  <cp:lastPrinted>2020-07-30T02:37:00Z</cp:lastPrinted>
  <dcterms:modified xsi:type="dcterms:W3CDTF">2021-05-26T03:18:24Z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